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5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8"/>
        <w:gridCol w:w="885"/>
        <w:gridCol w:w="361"/>
        <w:gridCol w:w="664"/>
        <w:gridCol w:w="41"/>
        <w:gridCol w:w="227"/>
        <w:gridCol w:w="567"/>
        <w:gridCol w:w="709"/>
        <w:gridCol w:w="609"/>
        <w:gridCol w:w="567"/>
        <w:gridCol w:w="32"/>
        <w:gridCol w:w="682"/>
        <w:gridCol w:w="859"/>
        <w:gridCol w:w="93"/>
        <w:gridCol w:w="464"/>
        <w:gridCol w:w="152"/>
        <w:gridCol w:w="610"/>
        <w:gridCol w:w="372"/>
        <w:gridCol w:w="160"/>
        <w:gridCol w:w="133"/>
        <w:gridCol w:w="447"/>
        <w:gridCol w:w="275"/>
        <w:gridCol w:w="261"/>
        <w:gridCol w:w="639"/>
      </w:tblGrid>
      <w:tr w:rsidR="00850CC0" w14:paraId="6CBF6F11" w14:textId="77777777" w:rsidTr="008A74BC">
        <w:trPr>
          <w:cantSplit/>
          <w:jc w:val="center"/>
        </w:trPr>
        <w:tc>
          <w:tcPr>
            <w:tcW w:w="10547" w:type="dxa"/>
            <w:gridSpan w:val="24"/>
            <w:tcBorders>
              <w:top w:val="single" w:sz="12" w:space="0" w:color="auto"/>
            </w:tcBorders>
            <w:shd w:val="clear" w:color="auto" w:fill="C0C0C0"/>
            <w:vAlign w:val="center"/>
          </w:tcPr>
          <w:p w14:paraId="0E5BA46C" w14:textId="467E25DA" w:rsidR="00850CC0" w:rsidRDefault="00C750F4">
            <w:pPr>
              <w:pStyle w:val="Cmsor1"/>
              <w:rPr>
                <w:b/>
                <w:bCs/>
              </w:rPr>
            </w:pPr>
            <w:r>
              <w:rPr>
                <w:b/>
                <w:bCs/>
              </w:rPr>
              <w:t xml:space="preserve">  </w:t>
            </w:r>
            <w:r w:rsidR="00850CC0">
              <w:rPr>
                <w:b/>
                <w:bCs/>
              </w:rPr>
              <w:t>Óbudai Egyetem</w:t>
            </w:r>
          </w:p>
        </w:tc>
      </w:tr>
      <w:tr w:rsidR="00850CC0" w14:paraId="32BFDB0A" w14:textId="77777777" w:rsidTr="00383855">
        <w:trPr>
          <w:cantSplit/>
          <w:jc w:val="center"/>
        </w:trPr>
        <w:tc>
          <w:tcPr>
            <w:tcW w:w="4801" w:type="dxa"/>
            <w:gridSpan w:val="9"/>
            <w:vAlign w:val="center"/>
          </w:tcPr>
          <w:p w14:paraId="0714C2FC" w14:textId="77777777" w:rsidR="00850CC0" w:rsidRDefault="00850CC0">
            <w:pPr>
              <w:jc w:val="right"/>
            </w:pPr>
            <w:r>
              <w:t xml:space="preserve">Rejtő Sándor Könnyűipari és Környezetmérnöki </w:t>
            </w:r>
          </w:p>
        </w:tc>
        <w:tc>
          <w:tcPr>
            <w:tcW w:w="567" w:type="dxa"/>
            <w:shd w:val="clear" w:color="auto" w:fill="C0C0C0"/>
            <w:vAlign w:val="center"/>
          </w:tcPr>
          <w:p w14:paraId="4288EEED" w14:textId="77777777" w:rsidR="00850CC0" w:rsidRDefault="00850CC0">
            <w:pPr>
              <w:pStyle w:val="Tblzatcmke"/>
              <w:jc w:val="left"/>
            </w:pPr>
            <w:r>
              <w:t>Kar</w:t>
            </w:r>
          </w:p>
        </w:tc>
        <w:tc>
          <w:tcPr>
            <w:tcW w:w="4279" w:type="dxa"/>
            <w:gridSpan w:val="12"/>
            <w:vAlign w:val="center"/>
          </w:tcPr>
          <w:p w14:paraId="1A42C87A" w14:textId="6B76147C" w:rsidR="00850CC0" w:rsidRPr="00383855" w:rsidRDefault="00383855" w:rsidP="00383855">
            <w:pPr>
              <w:ind w:right="205"/>
              <w:rPr>
                <w:bCs w:val="0"/>
              </w:rPr>
            </w:pPr>
            <w:r w:rsidRPr="00383855">
              <w:rPr>
                <w:bCs w:val="0"/>
                <w:sz w:val="18"/>
                <w:szCs w:val="18"/>
              </w:rPr>
              <w:t xml:space="preserve">Környezetmérnöki </w:t>
            </w:r>
            <w:r w:rsidRPr="00383855">
              <w:rPr>
                <w:rFonts w:ascii="Ariel" w:hAnsi="Ariel"/>
                <w:bCs w:val="0"/>
                <w:sz w:val="18"/>
                <w:szCs w:val="18"/>
              </w:rPr>
              <w:t>és</w:t>
            </w:r>
            <w:r w:rsidRPr="00383855">
              <w:rPr>
                <w:rFonts w:ascii="Ariel" w:hAnsi="Ariel"/>
                <w:bCs w:val="0"/>
              </w:rPr>
              <w:t xml:space="preserve"> Természettudományi</w:t>
            </w:r>
          </w:p>
        </w:tc>
        <w:tc>
          <w:tcPr>
            <w:tcW w:w="900" w:type="dxa"/>
            <w:gridSpan w:val="2"/>
            <w:shd w:val="clear" w:color="auto" w:fill="C0C0C0"/>
            <w:vAlign w:val="center"/>
          </w:tcPr>
          <w:p w14:paraId="0F11A3A6" w14:textId="77777777" w:rsidR="00850CC0" w:rsidRDefault="00850CC0">
            <w:pPr>
              <w:pStyle w:val="Tblzatcmke"/>
              <w:jc w:val="both"/>
              <w:rPr>
                <w:i w:val="0"/>
                <w:iCs w:val="0"/>
              </w:rPr>
            </w:pPr>
            <w:r>
              <w:t>Intézet</w:t>
            </w:r>
          </w:p>
        </w:tc>
      </w:tr>
      <w:tr w:rsidR="00850CC0" w14:paraId="2C7726CE" w14:textId="77777777" w:rsidTr="00383855">
        <w:trPr>
          <w:cantSplit/>
          <w:jc w:val="center"/>
        </w:trPr>
        <w:tc>
          <w:tcPr>
            <w:tcW w:w="2648" w:type="dxa"/>
            <w:gridSpan w:val="4"/>
            <w:shd w:val="clear" w:color="auto" w:fill="C0C0C0"/>
            <w:vAlign w:val="center"/>
          </w:tcPr>
          <w:p w14:paraId="0542F045" w14:textId="77777777" w:rsidR="00850CC0" w:rsidRDefault="00850CC0">
            <w:pPr>
              <w:pStyle w:val="Tblzatcmke"/>
            </w:pPr>
            <w:r>
              <w:t>Tantárgy neve:</w:t>
            </w:r>
          </w:p>
        </w:tc>
        <w:tc>
          <w:tcPr>
            <w:tcW w:w="5002" w:type="dxa"/>
            <w:gridSpan w:val="12"/>
            <w:shd w:val="clear" w:color="auto" w:fill="FFFFFF"/>
            <w:vAlign w:val="center"/>
          </w:tcPr>
          <w:p w14:paraId="74082E2D" w14:textId="1AB41125" w:rsidR="00850CC0" w:rsidRPr="00383855" w:rsidRDefault="00383855">
            <w:pPr>
              <w:rPr>
                <w:bCs w:val="0"/>
              </w:rPr>
            </w:pPr>
            <w:r w:rsidRPr="00383855">
              <w:rPr>
                <w:bCs w:val="0"/>
                <w:sz w:val="18"/>
                <w:szCs w:val="18"/>
              </w:rPr>
              <w:t xml:space="preserve">Környezeti </w:t>
            </w:r>
            <w:r w:rsidR="00C750F4">
              <w:rPr>
                <w:bCs w:val="0"/>
                <w:sz w:val="18"/>
                <w:szCs w:val="18"/>
              </w:rPr>
              <w:t xml:space="preserve">Management </w:t>
            </w:r>
          </w:p>
        </w:tc>
        <w:tc>
          <w:tcPr>
            <w:tcW w:w="1275" w:type="dxa"/>
            <w:gridSpan w:val="4"/>
            <w:shd w:val="clear" w:color="auto" w:fill="C0C0C0"/>
            <w:vAlign w:val="center"/>
          </w:tcPr>
          <w:p w14:paraId="78E06D81" w14:textId="77777777" w:rsidR="00850CC0" w:rsidRDefault="00850CC0">
            <w:pPr>
              <w:pStyle w:val="Tblzatcmke"/>
            </w:pPr>
            <w:r>
              <w:t>Neptun kód:</w:t>
            </w:r>
          </w:p>
        </w:tc>
        <w:tc>
          <w:tcPr>
            <w:tcW w:w="1622" w:type="dxa"/>
            <w:gridSpan w:val="4"/>
            <w:shd w:val="clear" w:color="auto" w:fill="FFFFFF"/>
            <w:vAlign w:val="center"/>
          </w:tcPr>
          <w:p w14:paraId="54D5E320" w14:textId="46B68025" w:rsidR="00850CC0" w:rsidRPr="00383855" w:rsidRDefault="00383855">
            <w:pPr>
              <w:rPr>
                <w:bCs w:val="0"/>
              </w:rPr>
            </w:pPr>
            <w:r w:rsidRPr="00383855">
              <w:rPr>
                <w:bCs w:val="0"/>
                <w:sz w:val="18"/>
                <w:szCs w:val="18"/>
              </w:rPr>
              <w:t>RKX</w:t>
            </w:r>
            <w:r w:rsidR="00C750F4">
              <w:rPr>
                <w:bCs w:val="0"/>
                <w:sz w:val="18"/>
                <w:szCs w:val="18"/>
              </w:rPr>
              <w:t>KZ</w:t>
            </w:r>
            <w:r w:rsidRPr="00383855">
              <w:rPr>
                <w:bCs w:val="0"/>
                <w:sz w:val="18"/>
                <w:szCs w:val="18"/>
              </w:rPr>
              <w:t>1</w:t>
            </w:r>
            <w:r w:rsidR="00C750F4">
              <w:rPr>
                <w:bCs w:val="0"/>
                <w:sz w:val="18"/>
                <w:szCs w:val="18"/>
              </w:rPr>
              <w:t>A</w:t>
            </w:r>
            <w:r w:rsidRPr="00383855">
              <w:rPr>
                <w:bCs w:val="0"/>
                <w:sz w:val="18"/>
                <w:szCs w:val="18"/>
              </w:rPr>
              <w:t>BNE</w:t>
            </w:r>
          </w:p>
        </w:tc>
      </w:tr>
      <w:tr w:rsidR="00850CC0" w14:paraId="05D12E28" w14:textId="77777777" w:rsidTr="00383855">
        <w:trPr>
          <w:cantSplit/>
          <w:jc w:val="center"/>
        </w:trPr>
        <w:tc>
          <w:tcPr>
            <w:tcW w:w="2648" w:type="dxa"/>
            <w:gridSpan w:val="4"/>
            <w:shd w:val="clear" w:color="auto" w:fill="C0C0C0"/>
            <w:vAlign w:val="center"/>
          </w:tcPr>
          <w:p w14:paraId="7218810D" w14:textId="77777777" w:rsidR="00850CC0" w:rsidRDefault="00850CC0">
            <w:pPr>
              <w:pStyle w:val="Tblzatcmke"/>
            </w:pPr>
            <w:r>
              <w:t>Tantárgy neve angolul:</w:t>
            </w:r>
          </w:p>
        </w:tc>
        <w:tc>
          <w:tcPr>
            <w:tcW w:w="5002" w:type="dxa"/>
            <w:gridSpan w:val="12"/>
            <w:shd w:val="clear" w:color="auto" w:fill="FFFFFF"/>
            <w:vAlign w:val="center"/>
          </w:tcPr>
          <w:p w14:paraId="311BD638" w14:textId="79524228" w:rsidR="00850CC0" w:rsidRPr="00383855" w:rsidRDefault="00383855">
            <w:pPr>
              <w:rPr>
                <w:bCs w:val="0"/>
                <w:lang w:val="en-GB"/>
              </w:rPr>
            </w:pPr>
            <w:r w:rsidRPr="00383855">
              <w:rPr>
                <w:bCs w:val="0"/>
                <w:sz w:val="18"/>
                <w:szCs w:val="18"/>
              </w:rPr>
              <w:t xml:space="preserve">Environmental </w:t>
            </w:r>
            <w:r w:rsidR="00C750F4">
              <w:rPr>
                <w:bCs w:val="0"/>
                <w:sz w:val="18"/>
                <w:szCs w:val="18"/>
              </w:rPr>
              <w:t xml:space="preserve">Management </w:t>
            </w:r>
          </w:p>
        </w:tc>
        <w:tc>
          <w:tcPr>
            <w:tcW w:w="1275" w:type="dxa"/>
            <w:gridSpan w:val="4"/>
            <w:shd w:val="clear" w:color="auto" w:fill="C0C0C0"/>
            <w:vAlign w:val="center"/>
          </w:tcPr>
          <w:p w14:paraId="13F5FDFC" w14:textId="77777777" w:rsidR="00850CC0" w:rsidRDefault="00850CC0">
            <w:pPr>
              <w:pStyle w:val="Tblzatcmke"/>
            </w:pPr>
            <w:r>
              <w:t xml:space="preserve">Kredit: </w:t>
            </w:r>
          </w:p>
        </w:tc>
        <w:tc>
          <w:tcPr>
            <w:tcW w:w="1622" w:type="dxa"/>
            <w:gridSpan w:val="4"/>
            <w:shd w:val="clear" w:color="auto" w:fill="FFFFFF"/>
            <w:vAlign w:val="center"/>
          </w:tcPr>
          <w:p w14:paraId="5F1D65A4" w14:textId="57BABCEB" w:rsidR="00850CC0" w:rsidRDefault="00383855">
            <w:r>
              <w:t>4</w:t>
            </w:r>
          </w:p>
        </w:tc>
      </w:tr>
      <w:tr w:rsidR="00850CC0" w14:paraId="47D68B09" w14:textId="77777777" w:rsidTr="00383855">
        <w:trPr>
          <w:cantSplit/>
          <w:jc w:val="center"/>
        </w:trPr>
        <w:tc>
          <w:tcPr>
            <w:tcW w:w="2916" w:type="dxa"/>
            <w:gridSpan w:val="6"/>
            <w:shd w:val="clear" w:color="auto" w:fill="C0C0C0"/>
            <w:vAlign w:val="center"/>
          </w:tcPr>
          <w:p w14:paraId="44E46562" w14:textId="77777777" w:rsidR="00850CC0" w:rsidRDefault="00850CC0">
            <w:pPr>
              <w:pStyle w:val="Tblzatcmke"/>
            </w:pPr>
            <w:r>
              <w:t>Jelleg (kötelező/ választható:)</w:t>
            </w:r>
          </w:p>
        </w:tc>
        <w:tc>
          <w:tcPr>
            <w:tcW w:w="1276" w:type="dxa"/>
            <w:gridSpan w:val="2"/>
            <w:vAlign w:val="center"/>
          </w:tcPr>
          <w:p w14:paraId="09124AEE" w14:textId="77777777" w:rsidR="00850CC0" w:rsidRDefault="00850CC0">
            <w:r>
              <w:t>kötelező</w:t>
            </w:r>
          </w:p>
        </w:tc>
        <w:tc>
          <w:tcPr>
            <w:tcW w:w="1176" w:type="dxa"/>
            <w:gridSpan w:val="2"/>
            <w:shd w:val="clear" w:color="auto" w:fill="C0C0C0"/>
            <w:vAlign w:val="center"/>
          </w:tcPr>
          <w:p w14:paraId="1DD13646" w14:textId="77777777" w:rsidR="00850CC0" w:rsidRDefault="00850CC0">
            <w:pPr>
              <w:pStyle w:val="Tblzatcmke"/>
            </w:pPr>
            <w:r>
              <w:t>Tagozat:</w:t>
            </w:r>
          </w:p>
        </w:tc>
        <w:tc>
          <w:tcPr>
            <w:tcW w:w="1573" w:type="dxa"/>
            <w:gridSpan w:val="3"/>
            <w:vAlign w:val="center"/>
          </w:tcPr>
          <w:p w14:paraId="7E1BDC8A" w14:textId="77777777" w:rsidR="00850CC0" w:rsidRDefault="00850CC0">
            <w:r>
              <w:t>nappali</w:t>
            </w:r>
          </w:p>
        </w:tc>
        <w:tc>
          <w:tcPr>
            <w:tcW w:w="2431" w:type="dxa"/>
            <w:gridSpan w:val="8"/>
            <w:shd w:val="clear" w:color="auto" w:fill="C0C0C0"/>
            <w:vAlign w:val="center"/>
          </w:tcPr>
          <w:p w14:paraId="0DE8946B" w14:textId="77777777" w:rsidR="00850CC0" w:rsidRDefault="00850CC0">
            <w:pPr>
              <w:pStyle w:val="Tblzatcmke"/>
            </w:pPr>
            <w:r>
              <w:t>Félév a mintatantervben:</w:t>
            </w:r>
          </w:p>
        </w:tc>
        <w:tc>
          <w:tcPr>
            <w:tcW w:w="1175" w:type="dxa"/>
            <w:gridSpan w:val="3"/>
            <w:vAlign w:val="center"/>
          </w:tcPr>
          <w:p w14:paraId="2E929122" w14:textId="2180C0C4" w:rsidR="00850CC0" w:rsidRDefault="002252F8">
            <w:r>
              <w:t>5</w:t>
            </w:r>
          </w:p>
        </w:tc>
      </w:tr>
      <w:tr w:rsidR="00850CC0" w14:paraId="73EF5903" w14:textId="77777777" w:rsidTr="00383855">
        <w:trPr>
          <w:cantSplit/>
          <w:jc w:val="center"/>
        </w:trPr>
        <w:tc>
          <w:tcPr>
            <w:tcW w:w="3483" w:type="dxa"/>
            <w:gridSpan w:val="7"/>
            <w:shd w:val="clear" w:color="auto" w:fill="C0C0C0"/>
            <w:vAlign w:val="center"/>
          </w:tcPr>
          <w:p w14:paraId="0CA0AF44" w14:textId="77777777" w:rsidR="00850CC0" w:rsidRDefault="00850CC0">
            <w:pPr>
              <w:pStyle w:val="Tblzatcmke"/>
            </w:pPr>
            <w:r>
              <w:t>Szakok melyeken a tárgyat oktatják:</w:t>
            </w:r>
          </w:p>
        </w:tc>
        <w:tc>
          <w:tcPr>
            <w:tcW w:w="7064" w:type="dxa"/>
            <w:gridSpan w:val="17"/>
            <w:vAlign w:val="center"/>
          </w:tcPr>
          <w:p w14:paraId="0B7072C3" w14:textId="4E284363" w:rsidR="00850CC0" w:rsidRDefault="00850CC0">
            <w:r>
              <w:t xml:space="preserve">Környezetmérnök </w:t>
            </w:r>
            <w:r w:rsidR="00383855">
              <w:t>alap</w:t>
            </w:r>
            <w:r>
              <w:t>szak</w:t>
            </w:r>
          </w:p>
        </w:tc>
      </w:tr>
      <w:tr w:rsidR="00850CC0" w14:paraId="665A631A" w14:textId="77777777" w:rsidTr="00383855">
        <w:trPr>
          <w:cantSplit/>
          <w:jc w:val="center"/>
        </w:trPr>
        <w:tc>
          <w:tcPr>
            <w:tcW w:w="1623" w:type="dxa"/>
            <w:gridSpan w:val="2"/>
            <w:shd w:val="clear" w:color="auto" w:fill="C0C0C0"/>
            <w:vAlign w:val="center"/>
          </w:tcPr>
          <w:p w14:paraId="4036AE71" w14:textId="77777777" w:rsidR="00850CC0" w:rsidRDefault="00850CC0">
            <w:pPr>
              <w:pStyle w:val="Tblzatcmke"/>
            </w:pPr>
            <w:r>
              <w:t>Tantárgyfelelős:</w:t>
            </w:r>
          </w:p>
        </w:tc>
        <w:tc>
          <w:tcPr>
            <w:tcW w:w="4459" w:type="dxa"/>
            <w:gridSpan w:val="10"/>
            <w:vAlign w:val="center"/>
          </w:tcPr>
          <w:p w14:paraId="0CCF03B0" w14:textId="757E5D53" w:rsidR="00850CC0" w:rsidRPr="00383855" w:rsidRDefault="00383855">
            <w:pPr>
              <w:rPr>
                <w:bCs w:val="0"/>
              </w:rPr>
            </w:pPr>
            <w:r w:rsidRPr="00383855">
              <w:rPr>
                <w:bCs w:val="0"/>
              </w:rPr>
              <w:t>Dr. Zsarnóczai J. Sándor</w:t>
            </w:r>
          </w:p>
        </w:tc>
        <w:tc>
          <w:tcPr>
            <w:tcW w:w="952" w:type="dxa"/>
            <w:gridSpan w:val="2"/>
            <w:vAlign w:val="center"/>
          </w:tcPr>
          <w:p w14:paraId="7CCD3A38" w14:textId="77777777" w:rsidR="00850CC0" w:rsidRDefault="00850CC0">
            <w:pPr>
              <w:rPr>
                <w:b w:val="0"/>
                <w:bCs w:val="0"/>
                <w:i/>
                <w:iCs/>
                <w:highlight w:val="lightGray"/>
              </w:rPr>
            </w:pPr>
            <w:r>
              <w:rPr>
                <w:b w:val="0"/>
                <w:bCs w:val="0"/>
                <w:i/>
                <w:iCs/>
                <w:highlight w:val="lightGray"/>
              </w:rPr>
              <w:t>Előadó:</w:t>
            </w:r>
          </w:p>
        </w:tc>
        <w:tc>
          <w:tcPr>
            <w:tcW w:w="3513" w:type="dxa"/>
            <w:gridSpan w:val="10"/>
            <w:vAlign w:val="center"/>
          </w:tcPr>
          <w:p w14:paraId="683F7AE4" w14:textId="7EF8E231" w:rsidR="00850CC0" w:rsidRDefault="00383855">
            <w:r w:rsidRPr="00383855">
              <w:rPr>
                <w:bCs w:val="0"/>
              </w:rPr>
              <w:t>Dr. Zsarnóczai J. Sándor</w:t>
            </w:r>
          </w:p>
        </w:tc>
      </w:tr>
      <w:tr w:rsidR="00850CC0" w14:paraId="0013869A" w14:textId="77777777" w:rsidTr="00383855">
        <w:trPr>
          <w:cantSplit/>
          <w:jc w:val="center"/>
        </w:trPr>
        <w:tc>
          <w:tcPr>
            <w:tcW w:w="3483" w:type="dxa"/>
            <w:gridSpan w:val="7"/>
            <w:shd w:val="clear" w:color="auto" w:fill="C0C0C0"/>
            <w:vAlign w:val="center"/>
          </w:tcPr>
          <w:p w14:paraId="3498DA53" w14:textId="77777777" w:rsidR="00850CC0" w:rsidRDefault="00850CC0">
            <w:pPr>
              <w:pStyle w:val="Tblzatcmke"/>
            </w:pPr>
            <w:r>
              <w:t>Előtanulmányi feltételek (kóddal is):</w:t>
            </w:r>
          </w:p>
        </w:tc>
        <w:tc>
          <w:tcPr>
            <w:tcW w:w="7064" w:type="dxa"/>
            <w:gridSpan w:val="17"/>
            <w:vAlign w:val="center"/>
          </w:tcPr>
          <w:p w14:paraId="66FC81FC" w14:textId="3E87EA50" w:rsidR="00850CC0" w:rsidRDefault="002252F8">
            <w:r>
              <w:t>nincs</w:t>
            </w:r>
          </w:p>
        </w:tc>
      </w:tr>
      <w:tr w:rsidR="00313E48" w14:paraId="7F448196" w14:textId="77777777" w:rsidTr="00313E48">
        <w:trPr>
          <w:cantSplit/>
          <w:trHeight w:val="369"/>
          <w:jc w:val="center"/>
        </w:trPr>
        <w:tc>
          <w:tcPr>
            <w:tcW w:w="1623" w:type="dxa"/>
            <w:gridSpan w:val="2"/>
            <w:shd w:val="clear" w:color="auto" w:fill="C0C0C0"/>
            <w:vAlign w:val="center"/>
          </w:tcPr>
          <w:p w14:paraId="081F848F" w14:textId="24FD02ED" w:rsidR="00313E48" w:rsidRDefault="00313E48" w:rsidP="00383855">
            <w:pPr>
              <w:pStyle w:val="Tblzatcmke"/>
            </w:pPr>
            <w:r w:rsidRPr="00EB09CE">
              <w:rPr>
                <w:i w:val="0"/>
                <w:iCs w:val="0"/>
                <w:sz w:val="18"/>
                <w:szCs w:val="18"/>
              </w:rPr>
              <w:t>Heti óraszámok:</w:t>
            </w:r>
          </w:p>
        </w:tc>
        <w:tc>
          <w:tcPr>
            <w:tcW w:w="1066" w:type="dxa"/>
            <w:gridSpan w:val="3"/>
            <w:shd w:val="clear" w:color="auto" w:fill="C0C0C0"/>
            <w:vAlign w:val="center"/>
          </w:tcPr>
          <w:p w14:paraId="3C2D27C9" w14:textId="7C918547" w:rsidR="00313E48" w:rsidRDefault="00313E48" w:rsidP="00383855">
            <w:pPr>
              <w:pStyle w:val="Tblzatcmke"/>
            </w:pPr>
            <w:r w:rsidRPr="00EB09CE">
              <w:rPr>
                <w:i w:val="0"/>
                <w:iCs w:val="0"/>
                <w:sz w:val="18"/>
                <w:szCs w:val="18"/>
              </w:rPr>
              <w:t xml:space="preserve">Előadás:  </w:t>
            </w:r>
          </w:p>
        </w:tc>
        <w:tc>
          <w:tcPr>
            <w:tcW w:w="794" w:type="dxa"/>
            <w:gridSpan w:val="2"/>
            <w:vAlign w:val="center"/>
          </w:tcPr>
          <w:p w14:paraId="2B5C163E" w14:textId="6E67C134" w:rsidR="00313E48" w:rsidRDefault="00313E48" w:rsidP="00383855">
            <w:r>
              <w:rPr>
                <w:b w:val="0"/>
                <w:sz w:val="18"/>
                <w:szCs w:val="18"/>
              </w:rPr>
              <w:t>2</w:t>
            </w:r>
          </w:p>
        </w:tc>
        <w:tc>
          <w:tcPr>
            <w:tcW w:w="1917" w:type="dxa"/>
            <w:gridSpan w:val="4"/>
            <w:shd w:val="clear" w:color="auto" w:fill="C0C0C0"/>
            <w:vAlign w:val="center"/>
          </w:tcPr>
          <w:p w14:paraId="06CE1015" w14:textId="4FBF31F3" w:rsidR="00313E48" w:rsidRDefault="00313E48" w:rsidP="00383855">
            <w:pPr>
              <w:pStyle w:val="Tblzatcmke"/>
            </w:pPr>
            <w:r w:rsidRPr="00EB09CE">
              <w:rPr>
                <w:i w:val="0"/>
                <w:iCs w:val="0"/>
                <w:sz w:val="18"/>
                <w:szCs w:val="18"/>
              </w:rPr>
              <w:t xml:space="preserve">Tantermi gyakorlat:  </w:t>
            </w:r>
          </w:p>
        </w:tc>
        <w:tc>
          <w:tcPr>
            <w:tcW w:w="682" w:type="dxa"/>
            <w:vAlign w:val="center"/>
          </w:tcPr>
          <w:p w14:paraId="2A4BBB04" w14:textId="1DDB2EC6" w:rsidR="00313E48" w:rsidRDefault="00313E48" w:rsidP="00383855">
            <w:r>
              <w:rPr>
                <w:b w:val="0"/>
                <w:sz w:val="18"/>
                <w:szCs w:val="18"/>
              </w:rPr>
              <w:t>0</w:t>
            </w:r>
          </w:p>
        </w:tc>
        <w:tc>
          <w:tcPr>
            <w:tcW w:w="1416" w:type="dxa"/>
            <w:gridSpan w:val="3"/>
            <w:shd w:val="clear" w:color="auto" w:fill="C0C0C0"/>
            <w:vAlign w:val="center"/>
          </w:tcPr>
          <w:p w14:paraId="36524393" w14:textId="59403616" w:rsidR="00313E48" w:rsidRDefault="00313E48" w:rsidP="00383855">
            <w:pPr>
              <w:pStyle w:val="Tblzatcmke"/>
              <w:jc w:val="center"/>
            </w:pPr>
            <w:r w:rsidRPr="00EB09CE">
              <w:rPr>
                <w:i w:val="0"/>
                <w:iCs w:val="0"/>
                <w:sz w:val="18"/>
                <w:szCs w:val="18"/>
              </w:rPr>
              <w:t xml:space="preserve">Laborgyakorlat: </w:t>
            </w:r>
          </w:p>
        </w:tc>
        <w:tc>
          <w:tcPr>
            <w:tcW w:w="762" w:type="dxa"/>
            <w:gridSpan w:val="2"/>
            <w:vAlign w:val="center"/>
          </w:tcPr>
          <w:p w14:paraId="5F52E44B" w14:textId="2DB7754C" w:rsidR="00313E48" w:rsidRDefault="00313E48" w:rsidP="00383855">
            <w:r>
              <w:rPr>
                <w:i/>
                <w:iCs/>
                <w:sz w:val="18"/>
                <w:szCs w:val="18"/>
              </w:rPr>
              <w:t xml:space="preserve">0   </w:t>
            </w:r>
          </w:p>
        </w:tc>
        <w:tc>
          <w:tcPr>
            <w:tcW w:w="1648" w:type="dxa"/>
            <w:gridSpan w:val="6"/>
            <w:shd w:val="clear" w:color="auto" w:fill="BFBFBF" w:themeFill="background1" w:themeFillShade="BF"/>
            <w:vAlign w:val="center"/>
          </w:tcPr>
          <w:p w14:paraId="28E34A3D" w14:textId="3C1A711E" w:rsidR="00313E48" w:rsidRPr="00313E48" w:rsidRDefault="00313E48" w:rsidP="00383855">
            <w:pPr>
              <w:rPr>
                <w:b w:val="0"/>
                <w:bCs w:val="0"/>
              </w:rPr>
            </w:pPr>
            <w:r w:rsidRPr="00313E48">
              <w:rPr>
                <w:b w:val="0"/>
                <w:bCs w:val="0"/>
                <w:i/>
                <w:iCs/>
                <w:sz w:val="18"/>
                <w:szCs w:val="18"/>
              </w:rPr>
              <w:t>Össz. óraszám:</w:t>
            </w:r>
          </w:p>
        </w:tc>
        <w:tc>
          <w:tcPr>
            <w:tcW w:w="639" w:type="dxa"/>
            <w:vAlign w:val="center"/>
          </w:tcPr>
          <w:p w14:paraId="0CF71DF2" w14:textId="721BB41B" w:rsidR="00313E48" w:rsidRDefault="00313E48" w:rsidP="00383855">
            <w:r>
              <w:rPr>
                <w:i/>
                <w:iCs/>
                <w:sz w:val="18"/>
                <w:szCs w:val="18"/>
              </w:rPr>
              <w:t>28</w:t>
            </w:r>
          </w:p>
        </w:tc>
      </w:tr>
      <w:tr w:rsidR="00383855" w14:paraId="05E16B1F" w14:textId="77777777" w:rsidTr="00313E48">
        <w:trPr>
          <w:cantSplit/>
          <w:trHeight w:val="519"/>
          <w:jc w:val="center"/>
        </w:trPr>
        <w:tc>
          <w:tcPr>
            <w:tcW w:w="2689" w:type="dxa"/>
            <w:gridSpan w:val="5"/>
            <w:shd w:val="clear" w:color="auto" w:fill="C0C0C0"/>
            <w:vAlign w:val="center"/>
          </w:tcPr>
          <w:p w14:paraId="022C4BEF" w14:textId="6B36696F" w:rsidR="00383855" w:rsidRDefault="00383855" w:rsidP="00383855">
            <w:pPr>
              <w:pStyle w:val="Tblzatcmke"/>
            </w:pPr>
            <w:r w:rsidRPr="00EB09CE">
              <w:rPr>
                <w:i w:val="0"/>
                <w:iCs w:val="0"/>
                <w:sz w:val="18"/>
                <w:szCs w:val="18"/>
              </w:rPr>
              <w:t>Számonkérés módja (s; v; f):</w:t>
            </w:r>
          </w:p>
        </w:tc>
        <w:tc>
          <w:tcPr>
            <w:tcW w:w="794" w:type="dxa"/>
            <w:gridSpan w:val="2"/>
            <w:vAlign w:val="center"/>
          </w:tcPr>
          <w:p w14:paraId="7869CDC9" w14:textId="0814FB7D" w:rsidR="00383855" w:rsidRDefault="00383855" w:rsidP="00383855">
            <w:r w:rsidRPr="00EB09CE">
              <w:rPr>
                <w:b w:val="0"/>
                <w:sz w:val="18"/>
                <w:szCs w:val="18"/>
              </w:rPr>
              <w:t>é</w:t>
            </w:r>
          </w:p>
        </w:tc>
        <w:tc>
          <w:tcPr>
            <w:tcW w:w="1917" w:type="dxa"/>
            <w:gridSpan w:val="4"/>
            <w:shd w:val="clear" w:color="auto" w:fill="C0C0C0"/>
            <w:vAlign w:val="center"/>
          </w:tcPr>
          <w:p w14:paraId="0E08A08B" w14:textId="39AA8B2A" w:rsidR="00383855" w:rsidRDefault="00383855" w:rsidP="00383855">
            <w:pPr>
              <w:pStyle w:val="Tblzatcmke"/>
            </w:pPr>
            <w:r w:rsidRPr="00EB09CE">
              <w:rPr>
                <w:i w:val="0"/>
                <w:iCs w:val="0"/>
                <w:sz w:val="18"/>
                <w:szCs w:val="18"/>
              </w:rPr>
              <w:t>A képzés nyelve:</w:t>
            </w:r>
          </w:p>
        </w:tc>
        <w:tc>
          <w:tcPr>
            <w:tcW w:w="3232" w:type="dxa"/>
            <w:gridSpan w:val="7"/>
            <w:vAlign w:val="center"/>
          </w:tcPr>
          <w:p w14:paraId="7C03BD19" w14:textId="3B7E44E7" w:rsidR="00383855" w:rsidRDefault="00F04D01" w:rsidP="00383855">
            <w:r>
              <w:rPr>
                <w:b w:val="0"/>
                <w:sz w:val="18"/>
                <w:szCs w:val="18"/>
              </w:rPr>
              <w:t>Angol</w:t>
            </w:r>
          </w:p>
        </w:tc>
        <w:tc>
          <w:tcPr>
            <w:tcW w:w="160" w:type="dxa"/>
            <w:shd w:val="clear" w:color="auto" w:fill="C0C0C0"/>
          </w:tcPr>
          <w:p w14:paraId="367A68A9" w14:textId="15CD4CB5" w:rsidR="00383855" w:rsidRDefault="00383855" w:rsidP="00383855">
            <w:pPr>
              <w:pStyle w:val="Tblzatcmke"/>
              <w:jc w:val="center"/>
            </w:pPr>
          </w:p>
        </w:tc>
        <w:tc>
          <w:tcPr>
            <w:tcW w:w="1755" w:type="dxa"/>
            <w:gridSpan w:val="5"/>
            <w:vAlign w:val="center"/>
          </w:tcPr>
          <w:p w14:paraId="00FD0625" w14:textId="000485DD" w:rsidR="00383855" w:rsidRDefault="00383855" w:rsidP="00383855"/>
        </w:tc>
      </w:tr>
      <w:tr w:rsidR="00383855" w14:paraId="64F7AE81" w14:textId="77777777" w:rsidTr="008A74BC">
        <w:trPr>
          <w:cantSplit/>
          <w:jc w:val="center"/>
        </w:trPr>
        <w:tc>
          <w:tcPr>
            <w:tcW w:w="10547" w:type="dxa"/>
            <w:gridSpan w:val="24"/>
            <w:shd w:val="clear" w:color="auto" w:fill="C0C0C0"/>
            <w:vAlign w:val="center"/>
          </w:tcPr>
          <w:p w14:paraId="33D74826" w14:textId="77777777" w:rsidR="00383855" w:rsidRDefault="00383855" w:rsidP="00383855">
            <w:pPr>
              <w:pStyle w:val="Cmsor1"/>
              <w:rPr>
                <w:b/>
                <w:bCs/>
              </w:rPr>
            </w:pPr>
            <w:r>
              <w:rPr>
                <w:b/>
                <w:bCs/>
              </w:rPr>
              <w:t>A tananyag</w:t>
            </w:r>
          </w:p>
        </w:tc>
      </w:tr>
      <w:tr w:rsidR="00383855" w14:paraId="34502449" w14:textId="77777777" w:rsidTr="008A74BC">
        <w:trPr>
          <w:cantSplit/>
          <w:trHeight w:val="278"/>
          <w:jc w:val="center"/>
        </w:trPr>
        <w:tc>
          <w:tcPr>
            <w:tcW w:w="10547" w:type="dxa"/>
            <w:gridSpan w:val="24"/>
            <w:shd w:val="clear" w:color="auto" w:fill="C0C0C0"/>
            <w:vAlign w:val="center"/>
          </w:tcPr>
          <w:p w14:paraId="0CEE7D78" w14:textId="77777777" w:rsidR="00383855" w:rsidRDefault="00383855" w:rsidP="00383855">
            <w:pPr>
              <w:pStyle w:val="Cmsor2"/>
            </w:pPr>
            <w:r>
              <w:t>Oktatási cél:</w:t>
            </w:r>
          </w:p>
        </w:tc>
      </w:tr>
      <w:tr w:rsidR="00383855" w14:paraId="10C02930" w14:textId="77777777" w:rsidTr="00C750F4">
        <w:trPr>
          <w:cantSplit/>
          <w:trHeight w:hRule="exact" w:val="3109"/>
          <w:jc w:val="center"/>
        </w:trPr>
        <w:tc>
          <w:tcPr>
            <w:tcW w:w="10547" w:type="dxa"/>
            <w:gridSpan w:val="24"/>
          </w:tcPr>
          <w:p w14:paraId="5D727647" w14:textId="77777777" w:rsidR="00C750F4" w:rsidRPr="00C750F4" w:rsidRDefault="00C750F4" w:rsidP="00C750F4">
            <w:pPr>
              <w:jc w:val="both"/>
              <w:rPr>
                <w:b w:val="0"/>
                <w:bCs w:val="0"/>
                <w:color w:val="000000"/>
                <w:sz w:val="18"/>
                <w:szCs w:val="18"/>
                <w:lang w:val="en-GB"/>
              </w:rPr>
            </w:pPr>
            <w:r w:rsidRPr="00C750F4">
              <w:rPr>
                <w:b w:val="0"/>
                <w:bCs w:val="0"/>
                <w:color w:val="000000"/>
                <w:sz w:val="18"/>
                <w:szCs w:val="18"/>
                <w:lang w:val="en-GB"/>
              </w:rPr>
              <w:t xml:space="preserve">Environmental management and economic analysis focus on such influences of human activities on natural environment, as the increase in the GHG (greenhouse gas) emission, which led to climate change and the global warming by increasing the pollutions in the air and water resources and decreasing the biodiversity. This study focuses on the </w:t>
            </w:r>
            <w:r w:rsidRPr="00C750F4">
              <w:rPr>
                <w:b w:val="0"/>
                <w:bCs w:val="0"/>
                <w:i/>
                <w:color w:val="000000"/>
                <w:sz w:val="18"/>
                <w:szCs w:val="18"/>
                <w:lang w:val="en-GB"/>
              </w:rPr>
              <w:t xml:space="preserve">connections among the global warming, water management and water resource allocation. </w:t>
            </w:r>
            <w:r w:rsidRPr="00C750F4">
              <w:rPr>
                <w:b w:val="0"/>
                <w:bCs w:val="0"/>
                <w:color w:val="000000"/>
                <w:sz w:val="18"/>
                <w:szCs w:val="18"/>
                <w:lang w:val="en-GB"/>
              </w:rPr>
              <w:t>Some important problems were raised for both</w:t>
            </w:r>
            <w:r w:rsidRPr="00C750F4">
              <w:rPr>
                <w:b w:val="0"/>
                <w:bCs w:val="0"/>
                <w:i/>
                <w:color w:val="000000"/>
                <w:sz w:val="18"/>
                <w:szCs w:val="18"/>
                <w:lang w:val="en-GB"/>
              </w:rPr>
              <w:t xml:space="preserve"> irrigation dams and energy-producing dams</w:t>
            </w:r>
            <w:r w:rsidRPr="00C750F4">
              <w:rPr>
                <w:b w:val="0"/>
                <w:bCs w:val="0"/>
                <w:color w:val="000000"/>
                <w:sz w:val="18"/>
                <w:szCs w:val="18"/>
                <w:lang w:val="en-GB"/>
              </w:rPr>
              <w:t>. The dam-users should clean the water against the sediments, which could disrupt the works of turbines producing the electric energy.</w:t>
            </w:r>
          </w:p>
          <w:p w14:paraId="0B3060A8" w14:textId="77777777" w:rsidR="00C750F4" w:rsidRPr="00C750F4" w:rsidRDefault="00C750F4" w:rsidP="00C750F4">
            <w:pPr>
              <w:jc w:val="both"/>
              <w:rPr>
                <w:b w:val="0"/>
                <w:bCs w:val="0"/>
                <w:sz w:val="18"/>
                <w:szCs w:val="18"/>
                <w:lang w:val="en-GB"/>
              </w:rPr>
            </w:pPr>
            <w:r w:rsidRPr="00C750F4">
              <w:rPr>
                <w:b w:val="0"/>
                <w:bCs w:val="0"/>
                <w:color w:val="000000"/>
                <w:sz w:val="18"/>
                <w:szCs w:val="18"/>
                <w:lang w:val="en-GB"/>
              </w:rPr>
              <w:t>The environmental management and economic analyses became very actual, because of the negative influences of the human activities and the performances of the economies of the world economy including the EU-28 member states on the nature.</w:t>
            </w:r>
            <w:r w:rsidRPr="00C750F4">
              <w:rPr>
                <w:b w:val="0"/>
                <w:bCs w:val="0"/>
                <w:sz w:val="18"/>
                <w:szCs w:val="18"/>
                <w:lang w:val="en-GB"/>
              </w:rPr>
              <w:t xml:space="preserve"> The salinization process can be considered almost on 3,8 million ha areas of Europe. Also, the soil contaminations included heavy metal and mineral oil widely extended in 3 million sites of Europe.</w:t>
            </w:r>
          </w:p>
          <w:p w14:paraId="0213C2E5" w14:textId="457900C2" w:rsidR="00E34E37" w:rsidRPr="00EB09CE" w:rsidRDefault="00C750F4" w:rsidP="00C750F4">
            <w:pPr>
              <w:jc w:val="both"/>
              <w:rPr>
                <w:sz w:val="18"/>
                <w:szCs w:val="18"/>
              </w:rPr>
            </w:pPr>
            <w:r w:rsidRPr="00C750F4">
              <w:rPr>
                <w:b w:val="0"/>
                <w:bCs w:val="0"/>
                <w:sz w:val="18"/>
                <w:szCs w:val="18"/>
                <w:lang w:val="en-GB"/>
              </w:rPr>
              <w:t xml:space="preserve">The EU has a considerable problem concerning the </w:t>
            </w:r>
            <w:r w:rsidRPr="00C750F4">
              <w:rPr>
                <w:b w:val="0"/>
                <w:bCs w:val="0"/>
                <w:i/>
                <w:sz w:val="18"/>
                <w:szCs w:val="18"/>
                <w:lang w:val="en-GB"/>
              </w:rPr>
              <w:t xml:space="preserve">Generation of waste by economic activity </w:t>
            </w:r>
            <w:r w:rsidRPr="00C750F4">
              <w:rPr>
                <w:b w:val="0"/>
                <w:bCs w:val="0"/>
                <w:sz w:val="18"/>
                <w:szCs w:val="18"/>
                <w:lang w:val="en-GB"/>
              </w:rPr>
              <w:t xml:space="preserve">from point of view of the environmental conservation strategy. The EU should considerably decrease either Generation of waste and </w:t>
            </w:r>
            <w:r w:rsidRPr="00C750F4">
              <w:rPr>
                <w:b w:val="0"/>
                <w:bCs w:val="0"/>
                <w:i/>
                <w:sz w:val="18"/>
                <w:szCs w:val="18"/>
                <w:lang w:val="en-GB"/>
              </w:rPr>
              <w:t>Municipal waste</w:t>
            </w:r>
            <w:r w:rsidRPr="00C750F4">
              <w:rPr>
                <w:b w:val="0"/>
                <w:bCs w:val="0"/>
                <w:sz w:val="18"/>
                <w:szCs w:val="18"/>
                <w:lang w:val="en-GB"/>
              </w:rPr>
              <w:t xml:space="preserve"> accompanying with decreasing GHG emission. The Water management, renewable freshwater resource issues should be developed in the EU, because this water management is very costly with very considerable waste and pollution around water resources. </w:t>
            </w:r>
          </w:p>
          <w:p w14:paraId="018CC723" w14:textId="4B59E5F2" w:rsidR="00383855" w:rsidRDefault="00383855" w:rsidP="00383855">
            <w:pPr>
              <w:pStyle w:val="Lers"/>
            </w:pPr>
          </w:p>
        </w:tc>
      </w:tr>
      <w:tr w:rsidR="00661A04" w14:paraId="40DAD594" w14:textId="77777777" w:rsidTr="007B6624">
        <w:trPr>
          <w:cantSplit/>
          <w:trHeight w:val="278"/>
          <w:jc w:val="center"/>
        </w:trPr>
        <w:tc>
          <w:tcPr>
            <w:tcW w:w="10547" w:type="dxa"/>
            <w:gridSpan w:val="24"/>
            <w:shd w:val="clear" w:color="auto" w:fill="C0C0C0"/>
            <w:vAlign w:val="center"/>
          </w:tcPr>
          <w:p w14:paraId="409C2240" w14:textId="77777777" w:rsidR="00661A04" w:rsidRDefault="00661A04" w:rsidP="00661A04">
            <w:pPr>
              <w:pStyle w:val="Cmsor2"/>
              <w:jc w:val="center"/>
              <w:rPr>
                <w:b/>
                <w:bCs/>
              </w:rPr>
            </w:pPr>
            <w:r>
              <w:rPr>
                <w:b/>
                <w:bCs/>
              </w:rPr>
              <w:t>Félévközi követelmények</w:t>
            </w:r>
          </w:p>
        </w:tc>
      </w:tr>
      <w:tr w:rsidR="00661A04" w14:paraId="1138E5A1" w14:textId="77777777" w:rsidTr="007B6624">
        <w:trPr>
          <w:cantSplit/>
          <w:trHeight w:val="278"/>
          <w:jc w:val="center"/>
        </w:trPr>
        <w:tc>
          <w:tcPr>
            <w:tcW w:w="10547" w:type="dxa"/>
            <w:gridSpan w:val="24"/>
            <w:shd w:val="clear" w:color="auto" w:fill="C0C0C0"/>
            <w:vAlign w:val="center"/>
          </w:tcPr>
          <w:p w14:paraId="264070EC" w14:textId="77777777" w:rsidR="00661A04" w:rsidRDefault="00661A04" w:rsidP="00661A04">
            <w:pPr>
              <w:pStyle w:val="Cmsor2"/>
            </w:pPr>
            <w:r>
              <w:t>Foglalkozásokon való részvétel:</w:t>
            </w:r>
          </w:p>
        </w:tc>
      </w:tr>
      <w:tr w:rsidR="00661A04" w14:paraId="51002522" w14:textId="77777777" w:rsidTr="007B6624">
        <w:trPr>
          <w:cantSplit/>
          <w:trHeight w:val="531"/>
          <w:jc w:val="center"/>
        </w:trPr>
        <w:tc>
          <w:tcPr>
            <w:tcW w:w="10547" w:type="dxa"/>
            <w:gridSpan w:val="24"/>
          </w:tcPr>
          <w:p w14:paraId="4ECE0770" w14:textId="641C8561" w:rsidR="00661A04" w:rsidRDefault="00043992" w:rsidP="00043992">
            <w:pPr>
              <w:pStyle w:val="Lers"/>
            </w:pPr>
            <w:r w:rsidRPr="00EE5D45">
              <w:rPr>
                <w:rStyle w:val="Finomkiemels"/>
                <w:sz w:val="18"/>
                <w:szCs w:val="18"/>
                <w:lang w:val="en-GB"/>
              </w:rPr>
              <w:t>Active participation in occupational (due to the exceeding the clearance of the TVSZ is disabled), the administration of the thesis to be administered and a 20-minute presentation of students from the deadline. EKHT Rating: "did not meet / meet / appropriately comply". The subject of the written exam is to be injected. The deadline for mid-term responses is possible with the payment obligation under the TTSZ, with the printed verification of the performance. The "Excellent" interim task gives the opportunity - exceptionally, in the border, to round the result of the written exam, to obtain a better interim remark. If the student cannot fulfil the requirements of the interim remark during the term of the extension, on the first 10 working days of the exam period, a new attempt may take another attempt at the remuneration under TTSZ.</w:t>
            </w:r>
          </w:p>
        </w:tc>
      </w:tr>
      <w:tr w:rsidR="00661A04" w14:paraId="6C7FA31D" w14:textId="77777777" w:rsidTr="007B6624">
        <w:trPr>
          <w:cantSplit/>
          <w:trHeight w:val="257"/>
          <w:jc w:val="center"/>
        </w:trPr>
        <w:tc>
          <w:tcPr>
            <w:tcW w:w="10547" w:type="dxa"/>
            <w:gridSpan w:val="24"/>
            <w:shd w:val="clear" w:color="auto" w:fill="C0C0C0"/>
          </w:tcPr>
          <w:p w14:paraId="0D9D7434" w14:textId="77777777" w:rsidR="00661A04" w:rsidRDefault="00661A04" w:rsidP="00661A04">
            <w:pPr>
              <w:pStyle w:val="Cmsor2"/>
            </w:pPr>
            <w:r>
              <w:t>Zárthelyik, jegyzőkönyvek, beszámolók, stb. (száma, időpontja)</w:t>
            </w:r>
          </w:p>
        </w:tc>
      </w:tr>
      <w:tr w:rsidR="00661A04" w14:paraId="07F9F98B" w14:textId="77777777" w:rsidTr="007B6624">
        <w:trPr>
          <w:cantSplit/>
          <w:trHeight w:val="268"/>
          <w:jc w:val="center"/>
        </w:trPr>
        <w:tc>
          <w:tcPr>
            <w:tcW w:w="738" w:type="dxa"/>
          </w:tcPr>
          <w:p w14:paraId="77A18086" w14:textId="77777777" w:rsidR="00661A04" w:rsidRDefault="00661A04" w:rsidP="00661A04">
            <w:pPr>
              <w:pStyle w:val="Lers"/>
            </w:pPr>
          </w:p>
        </w:tc>
        <w:tc>
          <w:tcPr>
            <w:tcW w:w="9809" w:type="dxa"/>
            <w:gridSpan w:val="23"/>
          </w:tcPr>
          <w:p w14:paraId="09CC9197" w14:textId="5305C464" w:rsidR="00661A04" w:rsidRPr="0066068F" w:rsidRDefault="00661A04" w:rsidP="00661A04">
            <w:pPr>
              <w:widowControl/>
              <w:spacing w:before="0" w:after="0"/>
              <w:rPr>
                <w:b w:val="0"/>
                <w:bCs w:val="0"/>
                <w:sz w:val="18"/>
                <w:szCs w:val="18"/>
                <w:lang w:val="en-GB"/>
              </w:rPr>
            </w:pPr>
            <w:r w:rsidRPr="0066068F">
              <w:rPr>
                <w:b w:val="0"/>
                <w:bCs w:val="0"/>
                <w:sz w:val="18"/>
                <w:szCs w:val="18"/>
                <w:lang w:val="en-GB"/>
              </w:rPr>
              <w:t xml:space="preserve">2 </w:t>
            </w:r>
            <w:r w:rsidR="00043992" w:rsidRPr="0066068F">
              <w:rPr>
                <w:b w:val="0"/>
                <w:bCs w:val="0"/>
                <w:sz w:val="18"/>
                <w:szCs w:val="18"/>
                <w:lang w:val="en-GB"/>
              </w:rPr>
              <w:t>writing exams, 2 oral exams, 3 presentations from Given mat</w:t>
            </w:r>
            <w:r w:rsidR="0066068F">
              <w:rPr>
                <w:b w:val="0"/>
                <w:bCs w:val="0"/>
                <w:sz w:val="18"/>
                <w:szCs w:val="18"/>
                <w:lang w:val="en-GB"/>
              </w:rPr>
              <w:t>e</w:t>
            </w:r>
            <w:r w:rsidR="00043992" w:rsidRPr="0066068F">
              <w:rPr>
                <w:b w:val="0"/>
                <w:bCs w:val="0"/>
                <w:sz w:val="18"/>
                <w:szCs w:val="18"/>
                <w:lang w:val="en-GB"/>
              </w:rPr>
              <w:t>rial, Study region and Case study</w:t>
            </w:r>
            <w:r w:rsidR="0066068F">
              <w:rPr>
                <w:b w:val="0"/>
                <w:bCs w:val="0"/>
                <w:sz w:val="18"/>
                <w:szCs w:val="18"/>
                <w:lang w:val="en-GB"/>
              </w:rPr>
              <w:t>.</w:t>
            </w:r>
            <w:r w:rsidR="00043992" w:rsidRPr="0066068F">
              <w:rPr>
                <w:b w:val="0"/>
                <w:bCs w:val="0"/>
                <w:sz w:val="18"/>
                <w:szCs w:val="18"/>
                <w:lang w:val="en-GB"/>
              </w:rPr>
              <w:t xml:space="preserve"> </w:t>
            </w:r>
          </w:p>
        </w:tc>
      </w:tr>
      <w:tr w:rsidR="00661A04" w14:paraId="0D28152D" w14:textId="77777777" w:rsidTr="007B6624">
        <w:trPr>
          <w:cantSplit/>
          <w:trHeight w:val="268"/>
          <w:jc w:val="center"/>
        </w:trPr>
        <w:tc>
          <w:tcPr>
            <w:tcW w:w="738" w:type="dxa"/>
          </w:tcPr>
          <w:p w14:paraId="1BE6F901" w14:textId="77777777" w:rsidR="00661A04" w:rsidRDefault="00661A04" w:rsidP="00661A04">
            <w:pPr>
              <w:pStyle w:val="Lers"/>
            </w:pPr>
          </w:p>
        </w:tc>
        <w:tc>
          <w:tcPr>
            <w:tcW w:w="9809" w:type="dxa"/>
            <w:gridSpan w:val="23"/>
          </w:tcPr>
          <w:p w14:paraId="06EB54FD" w14:textId="37B0DD22" w:rsidR="00661A04" w:rsidRPr="0066068F" w:rsidRDefault="0066068F" w:rsidP="00661A04">
            <w:pPr>
              <w:pStyle w:val="Lers"/>
              <w:rPr>
                <w:b/>
                <w:bCs/>
                <w:sz w:val="18"/>
                <w:szCs w:val="18"/>
                <w:lang w:val="en-GB"/>
              </w:rPr>
            </w:pPr>
            <w:r w:rsidRPr="0066068F">
              <w:rPr>
                <w:rStyle w:val="Kiemels2"/>
                <w:b w:val="0"/>
                <w:bCs w:val="0"/>
                <w:sz w:val="18"/>
                <w:szCs w:val="18"/>
                <w:lang w:val="en-GB"/>
              </w:rPr>
              <w:t>The replacement-closed site is the exam duration TVSz. prescribed for the period prescribed.</w:t>
            </w:r>
          </w:p>
        </w:tc>
      </w:tr>
      <w:tr w:rsidR="00661A04" w14:paraId="6C046E6D" w14:textId="77777777" w:rsidTr="007B6624">
        <w:trPr>
          <w:cantSplit/>
          <w:trHeight w:val="257"/>
          <w:jc w:val="center"/>
        </w:trPr>
        <w:tc>
          <w:tcPr>
            <w:tcW w:w="10547" w:type="dxa"/>
            <w:gridSpan w:val="24"/>
            <w:shd w:val="clear" w:color="auto" w:fill="C0C0C0"/>
          </w:tcPr>
          <w:p w14:paraId="55C119B7" w14:textId="77777777" w:rsidR="00661A04" w:rsidRDefault="00661A04" w:rsidP="00661A04">
            <w:pPr>
              <w:pStyle w:val="Cmsor2"/>
            </w:pPr>
            <w:r>
              <w:t>Az aláírás megszerzésének/</w:t>
            </w:r>
            <w:r w:rsidRPr="005F73CF">
              <w:rPr>
                <w:b/>
              </w:rPr>
              <w:t>félévközi jegy</w:t>
            </w:r>
            <w:r>
              <w:t xml:space="preserve"> kialakításának módszere:</w:t>
            </w:r>
          </w:p>
        </w:tc>
      </w:tr>
      <w:tr w:rsidR="00661A04" w14:paraId="3F37D7C8" w14:textId="77777777" w:rsidTr="007B6624">
        <w:trPr>
          <w:cantSplit/>
          <w:trHeight w:val="530"/>
          <w:jc w:val="center"/>
        </w:trPr>
        <w:tc>
          <w:tcPr>
            <w:tcW w:w="10547" w:type="dxa"/>
            <w:gridSpan w:val="24"/>
          </w:tcPr>
          <w:p w14:paraId="70FD4473" w14:textId="38F67767" w:rsidR="00661A04" w:rsidRPr="006B2B90" w:rsidRDefault="00043992" w:rsidP="00043992">
            <w:pPr>
              <w:pStyle w:val="Lers"/>
              <w:rPr>
                <w:sz w:val="18"/>
                <w:szCs w:val="18"/>
                <w:lang w:val="en-GB"/>
              </w:rPr>
            </w:pPr>
            <w:r w:rsidRPr="006B2B90">
              <w:rPr>
                <w:sz w:val="18"/>
                <w:szCs w:val="18"/>
                <w:lang w:val="en-GB"/>
              </w:rPr>
              <w:t xml:space="preserve">Results and remarks of 2 writing exams, 2 oral exams </w:t>
            </w:r>
          </w:p>
        </w:tc>
      </w:tr>
      <w:tr w:rsidR="00661A04" w14:paraId="1714595A" w14:textId="77777777" w:rsidTr="007B6624">
        <w:trPr>
          <w:cantSplit/>
          <w:trHeight w:val="255"/>
          <w:jc w:val="center"/>
        </w:trPr>
        <w:tc>
          <w:tcPr>
            <w:tcW w:w="10547" w:type="dxa"/>
            <w:gridSpan w:val="24"/>
            <w:shd w:val="clear" w:color="auto" w:fill="C0C0C0"/>
          </w:tcPr>
          <w:p w14:paraId="5C5DD72A" w14:textId="77777777" w:rsidR="00661A04" w:rsidRDefault="00661A04" w:rsidP="00661A04">
            <w:pPr>
              <w:pStyle w:val="Cmsor2"/>
            </w:pPr>
            <w:r>
              <w:t>A vizsga módja (írásbeli, szóbeli, teszt, stb.) és értékelési módszere:</w:t>
            </w:r>
          </w:p>
        </w:tc>
      </w:tr>
      <w:tr w:rsidR="00043992" w14:paraId="6265BAA8" w14:textId="77777777" w:rsidTr="002C01F1">
        <w:trPr>
          <w:cantSplit/>
          <w:trHeight w:val="402"/>
          <w:jc w:val="center"/>
        </w:trPr>
        <w:tc>
          <w:tcPr>
            <w:tcW w:w="10547" w:type="dxa"/>
            <w:gridSpan w:val="24"/>
            <w:vAlign w:val="center"/>
          </w:tcPr>
          <w:p w14:paraId="02B4852D" w14:textId="334BF5F3" w:rsidR="00043992" w:rsidRDefault="00043992" w:rsidP="00043992">
            <w:pPr>
              <w:pStyle w:val="Lers"/>
            </w:pPr>
            <w:r w:rsidRPr="00EE5D45">
              <w:rPr>
                <w:rStyle w:val="Finomkiemels"/>
                <w:sz w:val="18"/>
                <w:szCs w:val="18"/>
                <w:lang w:val="en-GB"/>
              </w:rPr>
              <w:t>The examination method (written, to be administered) and evaluation method: a study to be administered and performed in 20 minutes. During the written exam, the students must answer two or two explicit questions. The questions will be made from the curricula marked in the table of contents of the university note. For the case study to be administered, a maximum of 10-page material should be compiled, the subject of which is related to an environmental investment, which may be for any economic branch, extractive industry, processing industry, energy sector, agriculture, transport, tourism, services, innovation developments. The subject may be linked to projects of priority or international relations at national level, for an EU-supported investment. There may be a theme related to the UN specialized organizations' decisions (world, international currency base, UNCTAD, WHO, ILO). The highlighted aspects are environmental protection and the hedges. The subject to be administered may be the work of the student's possible degree or scientific student conference work. Parallelism is possible. Structure to be administered Party: Summary and 5-10 keywords; Half page Introduction, half page methodological description, a page call list, references to the text are also indicated; half side of the summary experiences. In 6 or 7 pages, the circumstances, costs, purpose, essential and operational mechanism, usefulness and results of the investment are to be explained. The study must be administered in word as a presentation as a student of 12 to 15 slides in 20-20 minutes. The recommended literature is to assist in the preparation of work and further work.</w:t>
            </w:r>
          </w:p>
        </w:tc>
      </w:tr>
      <w:tr w:rsidR="00043992" w14:paraId="3F024C76" w14:textId="77777777" w:rsidTr="007B6624">
        <w:trPr>
          <w:cantSplit/>
          <w:trHeight w:val="255"/>
          <w:jc w:val="center"/>
        </w:trPr>
        <w:tc>
          <w:tcPr>
            <w:tcW w:w="10547" w:type="dxa"/>
            <w:gridSpan w:val="24"/>
            <w:shd w:val="clear" w:color="auto" w:fill="C0C0C0"/>
          </w:tcPr>
          <w:p w14:paraId="73B6986C" w14:textId="77777777" w:rsidR="00043992" w:rsidRDefault="00043992" w:rsidP="00043992">
            <w:pPr>
              <w:pStyle w:val="Cmsor1"/>
              <w:rPr>
                <w:b/>
                <w:bCs/>
              </w:rPr>
            </w:pPr>
            <w:r>
              <w:rPr>
                <w:b/>
                <w:bCs/>
              </w:rPr>
              <w:lastRenderedPageBreak/>
              <w:t>Irodalom</w:t>
            </w:r>
          </w:p>
        </w:tc>
      </w:tr>
      <w:tr w:rsidR="00043992" w14:paraId="6006447F" w14:textId="77777777" w:rsidTr="007B6624">
        <w:trPr>
          <w:cantSplit/>
          <w:trHeight w:val="320"/>
          <w:jc w:val="center"/>
        </w:trPr>
        <w:tc>
          <w:tcPr>
            <w:tcW w:w="1984" w:type="dxa"/>
            <w:gridSpan w:val="3"/>
            <w:shd w:val="clear" w:color="auto" w:fill="C0C0C0"/>
            <w:vAlign w:val="center"/>
          </w:tcPr>
          <w:p w14:paraId="563C33FE" w14:textId="77777777" w:rsidR="00043992" w:rsidRDefault="00043992" w:rsidP="00043992">
            <w:pPr>
              <w:pStyle w:val="Cmsor2"/>
              <w:jc w:val="right"/>
            </w:pPr>
            <w:r>
              <w:t xml:space="preserve">Kötelező: </w:t>
            </w:r>
          </w:p>
        </w:tc>
        <w:tc>
          <w:tcPr>
            <w:tcW w:w="8563" w:type="dxa"/>
            <w:gridSpan w:val="21"/>
          </w:tcPr>
          <w:p w14:paraId="5EA36B0B" w14:textId="77777777" w:rsidR="00043992" w:rsidRDefault="00043992" w:rsidP="00043992">
            <w:pPr>
              <w:pStyle w:val="Lers"/>
              <w:rPr>
                <w:bCs/>
              </w:rPr>
            </w:pPr>
            <w:r w:rsidRPr="00A96C9C">
              <w:rPr>
                <w:bCs/>
              </w:rPr>
              <w:t>Előadás</w:t>
            </w:r>
            <w:r>
              <w:rPr>
                <w:bCs/>
              </w:rPr>
              <w:t xml:space="preserve"> anyagai</w:t>
            </w:r>
            <w:r w:rsidRPr="00A96C9C">
              <w:rPr>
                <w:bCs/>
              </w:rPr>
              <w:t xml:space="preserve"> (Moodle rendszer).</w:t>
            </w:r>
          </w:p>
          <w:p w14:paraId="7E05716C" w14:textId="77777777" w:rsidR="00043992" w:rsidRPr="009D198D" w:rsidRDefault="00043992" w:rsidP="00043992">
            <w:pPr>
              <w:widowControl/>
              <w:numPr>
                <w:ilvl w:val="0"/>
                <w:numId w:val="3"/>
              </w:numPr>
              <w:adjustRightInd w:val="0"/>
              <w:spacing w:before="0" w:after="0"/>
              <w:ind w:left="357" w:hanging="357"/>
              <w:jc w:val="both"/>
              <w:rPr>
                <w:b w:val="0"/>
                <w:bCs w:val="0"/>
              </w:rPr>
            </w:pPr>
            <w:r w:rsidRPr="009D198D">
              <w:rPr>
                <w:b w:val="0"/>
                <w:bCs w:val="0"/>
                <w:sz w:val="18"/>
                <w:szCs w:val="18"/>
              </w:rPr>
              <w:t>Zsarnóczai, J. Sándor</w:t>
            </w:r>
            <w:r w:rsidRPr="009D198D">
              <w:rPr>
                <w:b w:val="0"/>
                <w:bCs w:val="0"/>
                <w:sz w:val="18"/>
                <w:szCs w:val="18"/>
                <w:lang w:val="en-GB"/>
              </w:rPr>
              <w:t xml:space="preserve">(edited by, 2021): ENVIRONMENTAL MANAGEMENT. Notebook. ÓBUDA University, Rejtő Sándor Faculty of Light Industrial and Environmental Engineering, Environmental Engineering Institute. </w:t>
            </w:r>
          </w:p>
          <w:p w14:paraId="3E4E61AF" w14:textId="67BDF8FA" w:rsidR="00043992" w:rsidRPr="00661A04" w:rsidRDefault="00043992" w:rsidP="00043992">
            <w:pPr>
              <w:widowControl/>
              <w:numPr>
                <w:ilvl w:val="0"/>
                <w:numId w:val="3"/>
              </w:numPr>
              <w:adjustRightInd w:val="0"/>
              <w:spacing w:before="0" w:after="0"/>
              <w:ind w:left="357" w:hanging="357"/>
              <w:jc w:val="both"/>
            </w:pPr>
            <w:r w:rsidRPr="009D198D">
              <w:rPr>
                <w:b w:val="0"/>
                <w:bCs w:val="0"/>
                <w:sz w:val="18"/>
                <w:szCs w:val="18"/>
                <w:lang w:val="en-GB"/>
              </w:rPr>
              <w:t>Tim Everett, Mallika Ishwaran, Gian Paolo Ansaloni and Alex Rubin March (2010): Economic Growth and the Environment.  Evidence and Analysis Series Paper 2. DEFRA (Development for Environment Food and Rural Affairs) PB13390, UK, March 2010, p. 52.</w:t>
            </w:r>
            <w:hyperlink r:id="rId7" w:history="1">
              <w:r w:rsidRPr="009D198D">
                <w:rPr>
                  <w:rStyle w:val="Hiperhivatkozs"/>
                  <w:b w:val="0"/>
                  <w:bCs w:val="0"/>
                  <w:color w:val="auto"/>
                  <w:sz w:val="18"/>
                  <w:szCs w:val="18"/>
                  <w:u w:val="none"/>
                  <w:shd w:val="clear" w:color="auto" w:fill="FFFFFF"/>
                </w:rPr>
                <w:br/>
                <w:t xml:space="preserve">Economic growth and the environment - GOV.UK, https://assets.publishing.service.gov.uk › </w:t>
              </w:r>
            </w:hyperlink>
            <w:r w:rsidRPr="009D198D">
              <w:rPr>
                <w:rStyle w:val="zgwo7"/>
                <w:b w:val="0"/>
                <w:bCs w:val="0"/>
                <w:spacing w:val="11"/>
                <w:sz w:val="18"/>
                <w:szCs w:val="18"/>
                <w:bdr w:val="single" w:sz="6" w:space="0" w:color="EBEBEB" w:frame="1"/>
              </w:rPr>
              <w:t>PDF</w:t>
            </w:r>
          </w:p>
        </w:tc>
      </w:tr>
      <w:tr w:rsidR="00043992" w14:paraId="5D5A64AA" w14:textId="77777777" w:rsidTr="007B6624">
        <w:trPr>
          <w:cantSplit/>
          <w:trHeight w:val="320"/>
          <w:jc w:val="center"/>
        </w:trPr>
        <w:tc>
          <w:tcPr>
            <w:tcW w:w="1984" w:type="dxa"/>
            <w:gridSpan w:val="3"/>
            <w:shd w:val="clear" w:color="auto" w:fill="C0C0C0"/>
            <w:vAlign w:val="center"/>
          </w:tcPr>
          <w:p w14:paraId="6B7EB8BD" w14:textId="77777777" w:rsidR="00043992" w:rsidRDefault="00043992" w:rsidP="00043992">
            <w:pPr>
              <w:pStyle w:val="Cmsor2"/>
              <w:jc w:val="right"/>
            </w:pPr>
            <w:r>
              <w:t>Ajánlott:</w:t>
            </w:r>
          </w:p>
        </w:tc>
        <w:tc>
          <w:tcPr>
            <w:tcW w:w="8563" w:type="dxa"/>
            <w:gridSpan w:val="21"/>
          </w:tcPr>
          <w:p w14:paraId="619B43BA" w14:textId="77777777" w:rsidR="00043992" w:rsidRPr="005A41DC" w:rsidRDefault="00043992" w:rsidP="00043992">
            <w:pPr>
              <w:widowControl/>
              <w:numPr>
                <w:ilvl w:val="0"/>
                <w:numId w:val="4"/>
              </w:numPr>
              <w:adjustRightInd w:val="0"/>
              <w:spacing w:before="0" w:after="0"/>
              <w:rPr>
                <w:b w:val="0"/>
                <w:bCs w:val="0"/>
                <w:highlight w:val="yellow"/>
              </w:rPr>
            </w:pPr>
            <w:r w:rsidRPr="005A41DC">
              <w:rPr>
                <w:b w:val="0"/>
                <w:bCs w:val="0"/>
                <w:sz w:val="18"/>
                <w:szCs w:val="18"/>
              </w:rPr>
              <w:t>Zsarnóczai, J. Sándor and Editing Board (edited by, 2010): Economics of Sustainable Agriculture (Fenntartható mezőgazdaság közgazdaságtana) Gödöllő, p. 151, ISBN 978 963 269 145 9</w:t>
            </w:r>
          </w:p>
          <w:p w14:paraId="1FD1E434" w14:textId="77777777" w:rsidR="00043992" w:rsidRPr="009D198D" w:rsidRDefault="00043992" w:rsidP="00043992">
            <w:pPr>
              <w:widowControl/>
              <w:numPr>
                <w:ilvl w:val="0"/>
                <w:numId w:val="4"/>
              </w:numPr>
              <w:adjustRightInd w:val="0"/>
              <w:spacing w:before="0" w:after="0"/>
              <w:rPr>
                <w:highlight w:val="yellow"/>
              </w:rPr>
            </w:pPr>
            <w:r w:rsidRPr="005A41DC">
              <w:rPr>
                <w:b w:val="0"/>
                <w:bCs w:val="0"/>
                <w:sz w:val="18"/>
                <w:szCs w:val="18"/>
              </w:rPr>
              <w:t>Zsarnóczai, Sándor</w:t>
            </w:r>
            <w:r w:rsidRPr="005A41DC">
              <w:rPr>
                <w:b w:val="0"/>
                <w:bCs w:val="0"/>
                <w:sz w:val="18"/>
                <w:szCs w:val="18"/>
                <w:lang w:val="en-GB"/>
              </w:rPr>
              <w:t>(edited by, 2021): ENVIRONMENTAL IMPACT ASSESMENT. Notebook. ÓBUDA University, Rejtő Sándor Faculty of Light Industrial and Environmental Engineering, Environmental Engineering Institute.</w:t>
            </w:r>
            <w:r>
              <w:rPr>
                <w:bCs w:val="0"/>
                <w:sz w:val="18"/>
                <w:szCs w:val="18"/>
                <w:lang w:val="en-GB"/>
              </w:rPr>
              <w:t xml:space="preserve"> </w:t>
            </w:r>
            <w:r>
              <w:rPr>
                <w:sz w:val="18"/>
                <w:szCs w:val="18"/>
              </w:rPr>
              <w:t xml:space="preserve"> </w:t>
            </w:r>
          </w:p>
          <w:p w14:paraId="24369763" w14:textId="522C7249" w:rsidR="00043992" w:rsidRPr="009D198D" w:rsidRDefault="00043992" w:rsidP="00043992">
            <w:pPr>
              <w:widowControl/>
              <w:numPr>
                <w:ilvl w:val="0"/>
                <w:numId w:val="4"/>
              </w:numPr>
              <w:adjustRightInd w:val="0"/>
              <w:spacing w:before="0" w:after="0"/>
              <w:rPr>
                <w:b w:val="0"/>
                <w:bCs w:val="0"/>
                <w:highlight w:val="yellow"/>
              </w:rPr>
            </w:pPr>
            <w:r w:rsidRPr="009D198D">
              <w:rPr>
                <w:b w:val="0"/>
                <w:bCs w:val="0"/>
                <w:sz w:val="18"/>
                <w:szCs w:val="18"/>
                <w:lang w:val="en-GB"/>
              </w:rPr>
              <w:t>Federica Cimato and Michael Mullan (2010): Adapting to Climate Change: Analysing the Role of Government, Paper 1, UK, January 2010, DEFRA (Development for Environment Food and Rural Affairs)</w:t>
            </w:r>
          </w:p>
        </w:tc>
      </w:tr>
      <w:tr w:rsidR="00043992" w14:paraId="66716A6A" w14:textId="77777777" w:rsidTr="007B6624">
        <w:trPr>
          <w:cantSplit/>
          <w:trHeight w:val="320"/>
          <w:jc w:val="center"/>
        </w:trPr>
        <w:tc>
          <w:tcPr>
            <w:tcW w:w="1984" w:type="dxa"/>
            <w:gridSpan w:val="3"/>
            <w:shd w:val="clear" w:color="auto" w:fill="C0C0C0"/>
            <w:vAlign w:val="center"/>
          </w:tcPr>
          <w:p w14:paraId="6FD4B455" w14:textId="77777777" w:rsidR="00043992" w:rsidRDefault="00043992" w:rsidP="00043992">
            <w:pPr>
              <w:pStyle w:val="Cmsor2"/>
              <w:jc w:val="right"/>
            </w:pPr>
            <w:r>
              <w:t xml:space="preserve">Egyéb segédletek: </w:t>
            </w:r>
          </w:p>
        </w:tc>
        <w:tc>
          <w:tcPr>
            <w:tcW w:w="8563" w:type="dxa"/>
            <w:gridSpan w:val="21"/>
          </w:tcPr>
          <w:p w14:paraId="4E171445" w14:textId="77777777" w:rsidR="00043992" w:rsidRPr="00A96C9C" w:rsidRDefault="00043992" w:rsidP="00043992">
            <w:pPr>
              <w:pStyle w:val="Lers"/>
            </w:pPr>
          </w:p>
        </w:tc>
      </w:tr>
      <w:tr w:rsidR="00043992" w14:paraId="7ACEB655" w14:textId="77777777" w:rsidTr="007B6624">
        <w:trPr>
          <w:cantSplit/>
          <w:trHeight w:val="320"/>
          <w:jc w:val="center"/>
        </w:trPr>
        <w:tc>
          <w:tcPr>
            <w:tcW w:w="10547" w:type="dxa"/>
            <w:gridSpan w:val="24"/>
            <w:shd w:val="clear" w:color="auto" w:fill="C0C0C0"/>
            <w:vAlign w:val="center"/>
          </w:tcPr>
          <w:p w14:paraId="280C4C0F" w14:textId="77777777" w:rsidR="00043992" w:rsidRDefault="00043992" w:rsidP="00043992">
            <w:pPr>
              <w:pStyle w:val="Cmsor2"/>
              <w:jc w:val="center"/>
              <w:rPr>
                <w:b/>
                <w:bCs/>
              </w:rPr>
            </w:pPr>
            <w:r>
              <w:rPr>
                <w:b/>
                <w:bCs/>
              </w:rPr>
              <w:t>A tárgy minőségbiztosítási módszerei:</w:t>
            </w:r>
          </w:p>
        </w:tc>
      </w:tr>
      <w:tr w:rsidR="00043992" w14:paraId="1A085073" w14:textId="77777777" w:rsidTr="007B6624">
        <w:trPr>
          <w:cantSplit/>
          <w:trHeight w:val="790"/>
          <w:jc w:val="center"/>
        </w:trPr>
        <w:tc>
          <w:tcPr>
            <w:tcW w:w="10547" w:type="dxa"/>
            <w:gridSpan w:val="24"/>
            <w:tcBorders>
              <w:bottom w:val="single" w:sz="12" w:space="0" w:color="auto"/>
            </w:tcBorders>
            <w:vAlign w:val="center"/>
          </w:tcPr>
          <w:p w14:paraId="070A5648" w14:textId="42D11C46" w:rsidR="0066068F" w:rsidRPr="0066068F" w:rsidRDefault="0066068F" w:rsidP="0066068F">
            <w:pPr>
              <w:pStyle w:val="Nincstrkz"/>
              <w:jc w:val="both"/>
              <w:rPr>
                <w:rStyle w:val="Kiemels2"/>
                <w:sz w:val="18"/>
                <w:szCs w:val="18"/>
                <w:lang w:val="en-GB"/>
              </w:rPr>
            </w:pPr>
            <w:r w:rsidRPr="0066068F">
              <w:rPr>
                <w:rStyle w:val="Kiemels2"/>
                <w:sz w:val="18"/>
                <w:szCs w:val="18"/>
                <w:lang w:val="en-GB"/>
              </w:rPr>
              <w:t>As a yearly, an educational review is carried out per year, in which we take into account the effectiveness of knowledge transfer and information from the evaluation of the opinions given by the students and graduates. On the basis of the evaluation, the development promotions can be started, whose areas - the methodology of knowledge transfer, - the contents of the curriculum, - lectures and practices were built on each other. We perform a yearly evaluation of the changes and their results; we make a note about this and the proven items are scheduled by the professional program to be part of the subject program.</w:t>
            </w:r>
          </w:p>
          <w:p w14:paraId="612C1CB2" w14:textId="77777777" w:rsidR="00043992" w:rsidRPr="00DA74ED" w:rsidRDefault="00043992" w:rsidP="00043992">
            <w:pPr>
              <w:pStyle w:val="Lers"/>
              <w:spacing w:before="0" w:after="0"/>
              <w:jc w:val="left"/>
              <w:rPr>
                <w:b/>
                <w:bCs/>
                <w:sz w:val="18"/>
                <w:szCs w:val="18"/>
                <w:lang w:val="en-GB"/>
              </w:rPr>
            </w:pPr>
            <w:r w:rsidRPr="00DA74ED">
              <w:rPr>
                <w:b/>
                <w:bCs/>
                <w:sz w:val="18"/>
                <w:szCs w:val="18"/>
                <w:lang w:val="en-GB"/>
              </w:rPr>
              <w:t xml:space="preserve">The other materials of the subject: </w:t>
            </w:r>
          </w:p>
          <w:p w14:paraId="62F16795" w14:textId="45BD8F1D" w:rsidR="00043992" w:rsidRPr="00503421" w:rsidRDefault="00043992" w:rsidP="00043992">
            <w:pPr>
              <w:jc w:val="both"/>
              <w:rPr>
                <w:b w:val="0"/>
                <w:bCs w:val="0"/>
                <w:sz w:val="18"/>
                <w:szCs w:val="18"/>
                <w:lang w:val="en-GB"/>
              </w:rPr>
            </w:pPr>
            <w:r w:rsidRPr="00503421">
              <w:rPr>
                <w:b w:val="0"/>
                <w:bCs w:val="0"/>
                <w:sz w:val="18"/>
                <w:szCs w:val="18"/>
                <w:lang w:val="en-GB"/>
              </w:rPr>
              <w:t xml:space="preserve">The study provided proof in cases of 21 selected countries in 2010-2018 that the </w:t>
            </w:r>
            <w:r w:rsidRPr="00503421">
              <w:rPr>
                <w:b w:val="0"/>
                <w:bCs w:val="0"/>
                <w:i/>
                <w:iCs/>
                <w:sz w:val="18"/>
                <w:szCs w:val="18"/>
                <w:lang w:val="en-GB"/>
              </w:rPr>
              <w:t>FDI net inflow</w:t>
            </w:r>
            <w:r w:rsidRPr="00503421">
              <w:rPr>
                <w:b w:val="0"/>
                <w:bCs w:val="0"/>
                <w:sz w:val="18"/>
                <w:szCs w:val="18"/>
                <w:lang w:val="en-GB"/>
              </w:rPr>
              <w:t xml:space="preserve"> has such influences on the </w:t>
            </w:r>
            <w:r w:rsidRPr="00503421">
              <w:rPr>
                <w:b w:val="0"/>
                <w:bCs w:val="0"/>
                <w:i/>
                <w:iCs/>
                <w:sz w:val="18"/>
                <w:szCs w:val="18"/>
                <w:lang w:val="en-GB"/>
              </w:rPr>
              <w:t>investment in value added agriculture</w:t>
            </w:r>
            <w:r w:rsidRPr="00503421">
              <w:rPr>
                <w:b w:val="0"/>
                <w:bCs w:val="0"/>
                <w:sz w:val="18"/>
                <w:szCs w:val="18"/>
                <w:lang w:val="en-GB"/>
              </w:rPr>
              <w:t xml:space="preserve"> and </w:t>
            </w:r>
            <w:r w:rsidRPr="00503421">
              <w:rPr>
                <w:b w:val="0"/>
                <w:bCs w:val="0"/>
                <w:i/>
                <w:iCs/>
                <w:sz w:val="18"/>
                <w:szCs w:val="18"/>
                <w:lang w:val="en-GB"/>
              </w:rPr>
              <w:t>share of gross fixed capital formation of agricultural sector in total gross fixed capital formation</w:t>
            </w:r>
            <w:r w:rsidRPr="00503421">
              <w:rPr>
                <w:b w:val="0"/>
                <w:bCs w:val="0"/>
                <w:sz w:val="18"/>
                <w:szCs w:val="18"/>
                <w:lang w:val="en-GB"/>
              </w:rPr>
              <w:t xml:space="preserve">. But this correlation of the FDI net inflow is not strong with these other two economic variances. Solution is to </w:t>
            </w:r>
            <w:r w:rsidRPr="00503421">
              <w:rPr>
                <w:b w:val="0"/>
                <w:bCs w:val="0"/>
                <w:i/>
                <w:iCs/>
                <w:sz w:val="18"/>
                <w:szCs w:val="18"/>
                <w:lang w:val="en-GB"/>
              </w:rPr>
              <w:t>strengthen cooperation</w:t>
            </w:r>
            <w:r w:rsidRPr="00503421">
              <w:rPr>
                <w:b w:val="0"/>
                <w:bCs w:val="0"/>
                <w:sz w:val="18"/>
                <w:szCs w:val="18"/>
                <w:lang w:val="en-GB"/>
              </w:rPr>
              <w:t xml:space="preserve"> to stimulate FDI net inflow among countries to develop investment in agricultural sector and increase high-technology exports.</w:t>
            </w:r>
          </w:p>
          <w:p w14:paraId="621FB8A9" w14:textId="77777777" w:rsidR="00043992" w:rsidRPr="00503421" w:rsidRDefault="00043992" w:rsidP="00043992">
            <w:pPr>
              <w:jc w:val="both"/>
              <w:rPr>
                <w:b w:val="0"/>
                <w:bCs w:val="0"/>
                <w:sz w:val="18"/>
                <w:szCs w:val="18"/>
                <w:lang w:val="en-GB"/>
              </w:rPr>
            </w:pPr>
            <w:r w:rsidRPr="00503421">
              <w:rPr>
                <w:b w:val="0"/>
                <w:bCs w:val="0"/>
                <w:sz w:val="18"/>
                <w:szCs w:val="18"/>
                <w:lang w:val="en-GB"/>
              </w:rPr>
              <w:t xml:space="preserve">This case study compares the selected economies in fields of employment15-24, over 25-year age, unemployment15-24 over 25-year age, real GDP per employed person and employment – population ratio, which are the main variances of three components in the SPSS (Special Program for Social Science) between 2006.-2014. This study is important because these analyses the economic development conditions of countries by the employment issue, and over this one the Real GDP per employed person and employment-population ratio. </w:t>
            </w:r>
          </w:p>
          <w:p w14:paraId="6735E7BE" w14:textId="75FC1D0F" w:rsidR="00043992" w:rsidRPr="00F90406" w:rsidRDefault="00043992" w:rsidP="00043992">
            <w:pPr>
              <w:pStyle w:val="Lers"/>
            </w:pPr>
            <w:r w:rsidRPr="00B25B25">
              <w:rPr>
                <w:sz w:val="18"/>
                <w:szCs w:val="18"/>
                <w:lang w:val="en-GB"/>
              </w:rPr>
              <w:t xml:space="preserve">The EU-12 in Central and Middle Europe has achieved </w:t>
            </w:r>
            <w:r w:rsidRPr="00B25B25">
              <w:rPr>
                <w:i/>
                <w:sz w:val="18"/>
                <w:szCs w:val="18"/>
                <w:lang w:val="en-GB"/>
              </w:rPr>
              <w:t>more increase</w:t>
            </w:r>
            <w:r w:rsidRPr="00B25B25">
              <w:rPr>
                <w:sz w:val="18"/>
                <w:szCs w:val="18"/>
                <w:lang w:val="en-GB"/>
              </w:rPr>
              <w:t xml:space="preserve"> in </w:t>
            </w:r>
            <w:r w:rsidRPr="00B25B25">
              <w:rPr>
                <w:i/>
                <w:sz w:val="18"/>
                <w:szCs w:val="18"/>
                <w:lang w:val="en-GB"/>
              </w:rPr>
              <w:t>productivity of input</w:t>
            </w:r>
            <w:r w:rsidRPr="00B25B25">
              <w:rPr>
                <w:sz w:val="18"/>
                <w:szCs w:val="18"/>
                <w:lang w:val="en-GB"/>
              </w:rPr>
              <w:t>, output value of agricultural industry, agricultural gross valued added, also per agricultural annual working unit than average results of EU-28 for 2010-2016.</w:t>
            </w:r>
          </w:p>
        </w:tc>
      </w:tr>
    </w:tbl>
    <w:p w14:paraId="4C02F8E2" w14:textId="77777777" w:rsidR="00850CC0" w:rsidRDefault="00850CC0">
      <w:pPr>
        <w:keepNext/>
        <w:rPr>
          <w:sz w:val="2"/>
          <w:szCs w:val="2"/>
        </w:rPr>
      </w:pPr>
    </w:p>
    <w:p w14:paraId="2912DD48" w14:textId="140CB618" w:rsidR="00850CC0" w:rsidRDefault="00D61BB5">
      <w:r>
        <w:t xml:space="preserve">Budapest, </w:t>
      </w:r>
      <w:r w:rsidR="000C1CEE">
        <w:t>202</w:t>
      </w:r>
      <w:r w:rsidR="00862EA3">
        <w:t>1</w:t>
      </w:r>
      <w:r w:rsidR="00C57305">
        <w:t xml:space="preserve">. </w:t>
      </w:r>
      <w:r w:rsidR="009E438C">
        <w:t>szeptember 3</w:t>
      </w:r>
      <w:r w:rsidR="000C1CEE">
        <w:t>.</w:t>
      </w:r>
    </w:p>
    <w:p w14:paraId="53BFCB34" w14:textId="77777777" w:rsidR="00794F54" w:rsidRDefault="00794F54"/>
    <w:p w14:paraId="7FE35EA2" w14:textId="660C0E3B" w:rsidR="00850CC0" w:rsidRDefault="00850CC0" w:rsidP="00A96C9C">
      <w:pPr>
        <w:ind w:left="4956" w:hanging="4956"/>
      </w:pPr>
      <w:r>
        <w:t xml:space="preserve">Összeállította: </w:t>
      </w:r>
      <w:r w:rsidR="00A96C9C">
        <w:t xml:space="preserve">Dr. </w:t>
      </w:r>
      <w:r w:rsidR="003207D0">
        <w:t>Zsarnóczai J. Sándor</w:t>
      </w:r>
      <w:r>
        <w:tab/>
        <w:t xml:space="preserve">Jóváhagyta: </w:t>
      </w:r>
      <w:r w:rsidR="00A96C9C">
        <w:t>Bodáné Dr. Kendrovics Rita</w:t>
      </w:r>
    </w:p>
    <w:p w14:paraId="50B25766" w14:textId="7D5893DE" w:rsidR="00850CC0" w:rsidRDefault="00850CC0">
      <w:r>
        <w:tab/>
      </w:r>
      <w:r>
        <w:tab/>
        <w:t>oktató</w:t>
      </w:r>
      <w:r>
        <w:tab/>
      </w:r>
      <w:r>
        <w:tab/>
      </w:r>
      <w:r>
        <w:tab/>
      </w:r>
      <w:r>
        <w:tab/>
      </w:r>
      <w:r>
        <w:tab/>
      </w:r>
      <w:r w:rsidR="00D61BB5">
        <w:tab/>
      </w:r>
      <w:r w:rsidR="00D61BB5">
        <w:tab/>
      </w:r>
      <w:r>
        <w:t>intézetigazgató</w:t>
      </w:r>
    </w:p>
    <w:sectPr w:rsidR="00850CC0" w:rsidSect="005F73CF">
      <w:footerReference w:type="default" r:id="rId8"/>
      <w:pgSz w:w="11906" w:h="16838"/>
      <w:pgMar w:top="56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D69E34" w14:textId="77777777" w:rsidR="008B47BE" w:rsidRDefault="008B47BE">
      <w:r>
        <w:separator/>
      </w:r>
    </w:p>
  </w:endnote>
  <w:endnote w:type="continuationSeparator" w:id="0">
    <w:p w14:paraId="1A4D5566" w14:textId="77777777" w:rsidR="008B47BE" w:rsidRDefault="008B4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el">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2BA95" w14:textId="04682351" w:rsidR="00850CC0" w:rsidRDefault="007C2EB1">
    <w:pPr>
      <w:pStyle w:val="llb"/>
      <w:rPr>
        <w:sz w:val="24"/>
        <w:szCs w:val="24"/>
      </w:rPr>
    </w:pPr>
    <w:r w:rsidRPr="007C2EB1">
      <w:rPr>
        <w:bCs w:val="0"/>
        <w:sz w:val="18"/>
        <w:szCs w:val="18"/>
        <w:lang w:val="en-GB"/>
      </w:rPr>
      <w:t>Environmental</w:t>
    </w:r>
    <w:r w:rsidRPr="00383855">
      <w:rPr>
        <w:bCs w:val="0"/>
        <w:sz w:val="18"/>
        <w:szCs w:val="18"/>
      </w:rPr>
      <w:t xml:space="preserve"> </w:t>
    </w:r>
    <w:r w:rsidRPr="007C2EB1">
      <w:rPr>
        <w:bCs w:val="0"/>
        <w:sz w:val="18"/>
        <w:szCs w:val="18"/>
      </w:rPr>
      <w:t>Management</w:t>
    </w:r>
    <w:r w:rsidRPr="007C2EB1">
      <w:rPr>
        <w:bCs w:val="0"/>
        <w:sz w:val="24"/>
        <w:szCs w:val="24"/>
      </w:rPr>
      <w:ptab w:relativeTo="margin" w:alignment="center" w:leader="none"/>
    </w:r>
    <w:r w:rsidRPr="007C2EB1">
      <w:rPr>
        <w:bCs w:val="0"/>
        <w:sz w:val="18"/>
        <w:szCs w:val="18"/>
      </w:rPr>
      <w:t>RKXKZ1ABNE</w:t>
    </w:r>
    <w:r w:rsidRPr="007C2EB1">
      <w:rPr>
        <w:bCs w:val="0"/>
        <w:sz w:val="24"/>
        <w:szCs w:val="24"/>
      </w:rPr>
      <w:ptab w:relativeTo="margin" w:alignment="right" w:leader="none"/>
    </w:r>
    <w:r w:rsidRPr="007C2EB1">
      <w:rPr>
        <w:bCs w:val="0"/>
        <w:sz w:val="18"/>
        <w:szCs w:val="18"/>
        <w:lang w:val="en-GB"/>
      </w:rPr>
      <w:t>Description for subject in detailed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078BEF" w14:textId="77777777" w:rsidR="008B47BE" w:rsidRDefault="008B47BE">
      <w:r>
        <w:separator/>
      </w:r>
    </w:p>
  </w:footnote>
  <w:footnote w:type="continuationSeparator" w:id="0">
    <w:p w14:paraId="53A5009C" w14:textId="77777777" w:rsidR="008B47BE" w:rsidRDefault="008B47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015D2"/>
    <w:multiLevelType w:val="hybridMultilevel"/>
    <w:tmpl w:val="91AE29F6"/>
    <w:lvl w:ilvl="0" w:tplc="1944C44C">
      <w:start w:val="1"/>
      <w:numFmt w:val="bullet"/>
      <w:lvlText w:val="•"/>
      <w:lvlJc w:val="left"/>
      <w:pPr>
        <w:tabs>
          <w:tab w:val="num" w:pos="720"/>
        </w:tabs>
        <w:ind w:left="720" w:hanging="360"/>
      </w:pPr>
      <w:rPr>
        <w:rFonts w:ascii="Arial" w:hAnsi="Arial" w:hint="default"/>
      </w:rPr>
    </w:lvl>
    <w:lvl w:ilvl="1" w:tplc="1AB62762" w:tentative="1">
      <w:start w:val="1"/>
      <w:numFmt w:val="bullet"/>
      <w:lvlText w:val="•"/>
      <w:lvlJc w:val="left"/>
      <w:pPr>
        <w:tabs>
          <w:tab w:val="num" w:pos="1440"/>
        </w:tabs>
        <w:ind w:left="1440" w:hanging="360"/>
      </w:pPr>
      <w:rPr>
        <w:rFonts w:ascii="Arial" w:hAnsi="Arial" w:hint="default"/>
      </w:rPr>
    </w:lvl>
    <w:lvl w:ilvl="2" w:tplc="30B2989A" w:tentative="1">
      <w:start w:val="1"/>
      <w:numFmt w:val="bullet"/>
      <w:lvlText w:val="•"/>
      <w:lvlJc w:val="left"/>
      <w:pPr>
        <w:tabs>
          <w:tab w:val="num" w:pos="2160"/>
        </w:tabs>
        <w:ind w:left="2160" w:hanging="360"/>
      </w:pPr>
      <w:rPr>
        <w:rFonts w:ascii="Arial" w:hAnsi="Arial" w:hint="default"/>
      </w:rPr>
    </w:lvl>
    <w:lvl w:ilvl="3" w:tplc="E8EA024E" w:tentative="1">
      <w:start w:val="1"/>
      <w:numFmt w:val="bullet"/>
      <w:lvlText w:val="•"/>
      <w:lvlJc w:val="left"/>
      <w:pPr>
        <w:tabs>
          <w:tab w:val="num" w:pos="2880"/>
        </w:tabs>
        <w:ind w:left="2880" w:hanging="360"/>
      </w:pPr>
      <w:rPr>
        <w:rFonts w:ascii="Arial" w:hAnsi="Arial" w:hint="default"/>
      </w:rPr>
    </w:lvl>
    <w:lvl w:ilvl="4" w:tplc="E0F6BF1A" w:tentative="1">
      <w:start w:val="1"/>
      <w:numFmt w:val="bullet"/>
      <w:lvlText w:val="•"/>
      <w:lvlJc w:val="left"/>
      <w:pPr>
        <w:tabs>
          <w:tab w:val="num" w:pos="3600"/>
        </w:tabs>
        <w:ind w:left="3600" w:hanging="360"/>
      </w:pPr>
      <w:rPr>
        <w:rFonts w:ascii="Arial" w:hAnsi="Arial" w:hint="default"/>
      </w:rPr>
    </w:lvl>
    <w:lvl w:ilvl="5" w:tplc="EB2EC4E0" w:tentative="1">
      <w:start w:val="1"/>
      <w:numFmt w:val="bullet"/>
      <w:lvlText w:val="•"/>
      <w:lvlJc w:val="left"/>
      <w:pPr>
        <w:tabs>
          <w:tab w:val="num" w:pos="4320"/>
        </w:tabs>
        <w:ind w:left="4320" w:hanging="360"/>
      </w:pPr>
      <w:rPr>
        <w:rFonts w:ascii="Arial" w:hAnsi="Arial" w:hint="default"/>
      </w:rPr>
    </w:lvl>
    <w:lvl w:ilvl="6" w:tplc="45125738" w:tentative="1">
      <w:start w:val="1"/>
      <w:numFmt w:val="bullet"/>
      <w:lvlText w:val="•"/>
      <w:lvlJc w:val="left"/>
      <w:pPr>
        <w:tabs>
          <w:tab w:val="num" w:pos="5040"/>
        </w:tabs>
        <w:ind w:left="5040" w:hanging="360"/>
      </w:pPr>
      <w:rPr>
        <w:rFonts w:ascii="Arial" w:hAnsi="Arial" w:hint="default"/>
      </w:rPr>
    </w:lvl>
    <w:lvl w:ilvl="7" w:tplc="8C46CDDE" w:tentative="1">
      <w:start w:val="1"/>
      <w:numFmt w:val="bullet"/>
      <w:lvlText w:val="•"/>
      <w:lvlJc w:val="left"/>
      <w:pPr>
        <w:tabs>
          <w:tab w:val="num" w:pos="5760"/>
        </w:tabs>
        <w:ind w:left="5760" w:hanging="360"/>
      </w:pPr>
      <w:rPr>
        <w:rFonts w:ascii="Arial" w:hAnsi="Arial" w:hint="default"/>
      </w:rPr>
    </w:lvl>
    <w:lvl w:ilvl="8" w:tplc="79E48FB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9994497"/>
    <w:multiLevelType w:val="multilevel"/>
    <w:tmpl w:val="040E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329C3584"/>
    <w:multiLevelType w:val="hybridMultilevel"/>
    <w:tmpl w:val="97261044"/>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 w15:restartNumberingAfterBreak="0">
    <w:nsid w:val="3DD97D0C"/>
    <w:multiLevelType w:val="multilevel"/>
    <w:tmpl w:val="5F3CE59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54E35EB8"/>
    <w:multiLevelType w:val="hybridMultilevel"/>
    <w:tmpl w:val="2B56D63C"/>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 w15:restartNumberingAfterBreak="0">
    <w:nsid w:val="5BAF1E65"/>
    <w:multiLevelType w:val="hybridMultilevel"/>
    <w:tmpl w:val="8E8AD398"/>
    <w:lvl w:ilvl="0" w:tplc="F4E22100">
      <w:start w:val="1"/>
      <w:numFmt w:val="bullet"/>
      <w:lvlText w:val="•"/>
      <w:lvlJc w:val="left"/>
      <w:pPr>
        <w:tabs>
          <w:tab w:val="num" w:pos="720"/>
        </w:tabs>
        <w:ind w:left="720" w:hanging="360"/>
      </w:pPr>
      <w:rPr>
        <w:rFonts w:ascii="Arial" w:hAnsi="Arial" w:hint="default"/>
      </w:rPr>
    </w:lvl>
    <w:lvl w:ilvl="1" w:tplc="796C962C" w:tentative="1">
      <w:start w:val="1"/>
      <w:numFmt w:val="bullet"/>
      <w:lvlText w:val="•"/>
      <w:lvlJc w:val="left"/>
      <w:pPr>
        <w:tabs>
          <w:tab w:val="num" w:pos="1440"/>
        </w:tabs>
        <w:ind w:left="1440" w:hanging="360"/>
      </w:pPr>
      <w:rPr>
        <w:rFonts w:ascii="Arial" w:hAnsi="Arial" w:hint="default"/>
      </w:rPr>
    </w:lvl>
    <w:lvl w:ilvl="2" w:tplc="B2562644" w:tentative="1">
      <w:start w:val="1"/>
      <w:numFmt w:val="bullet"/>
      <w:lvlText w:val="•"/>
      <w:lvlJc w:val="left"/>
      <w:pPr>
        <w:tabs>
          <w:tab w:val="num" w:pos="2160"/>
        </w:tabs>
        <w:ind w:left="2160" w:hanging="360"/>
      </w:pPr>
      <w:rPr>
        <w:rFonts w:ascii="Arial" w:hAnsi="Arial" w:hint="default"/>
      </w:rPr>
    </w:lvl>
    <w:lvl w:ilvl="3" w:tplc="862E30BA" w:tentative="1">
      <w:start w:val="1"/>
      <w:numFmt w:val="bullet"/>
      <w:lvlText w:val="•"/>
      <w:lvlJc w:val="left"/>
      <w:pPr>
        <w:tabs>
          <w:tab w:val="num" w:pos="2880"/>
        </w:tabs>
        <w:ind w:left="2880" w:hanging="360"/>
      </w:pPr>
      <w:rPr>
        <w:rFonts w:ascii="Arial" w:hAnsi="Arial" w:hint="default"/>
      </w:rPr>
    </w:lvl>
    <w:lvl w:ilvl="4" w:tplc="B07ABFD4" w:tentative="1">
      <w:start w:val="1"/>
      <w:numFmt w:val="bullet"/>
      <w:lvlText w:val="•"/>
      <w:lvlJc w:val="left"/>
      <w:pPr>
        <w:tabs>
          <w:tab w:val="num" w:pos="3600"/>
        </w:tabs>
        <w:ind w:left="3600" w:hanging="360"/>
      </w:pPr>
      <w:rPr>
        <w:rFonts w:ascii="Arial" w:hAnsi="Arial" w:hint="default"/>
      </w:rPr>
    </w:lvl>
    <w:lvl w:ilvl="5" w:tplc="AEE8A73A" w:tentative="1">
      <w:start w:val="1"/>
      <w:numFmt w:val="bullet"/>
      <w:lvlText w:val="•"/>
      <w:lvlJc w:val="left"/>
      <w:pPr>
        <w:tabs>
          <w:tab w:val="num" w:pos="4320"/>
        </w:tabs>
        <w:ind w:left="4320" w:hanging="360"/>
      </w:pPr>
      <w:rPr>
        <w:rFonts w:ascii="Arial" w:hAnsi="Arial" w:hint="default"/>
      </w:rPr>
    </w:lvl>
    <w:lvl w:ilvl="6" w:tplc="EC10AE36" w:tentative="1">
      <w:start w:val="1"/>
      <w:numFmt w:val="bullet"/>
      <w:lvlText w:val="•"/>
      <w:lvlJc w:val="left"/>
      <w:pPr>
        <w:tabs>
          <w:tab w:val="num" w:pos="5040"/>
        </w:tabs>
        <w:ind w:left="5040" w:hanging="360"/>
      </w:pPr>
      <w:rPr>
        <w:rFonts w:ascii="Arial" w:hAnsi="Arial" w:hint="default"/>
      </w:rPr>
    </w:lvl>
    <w:lvl w:ilvl="7" w:tplc="C66A4B2C" w:tentative="1">
      <w:start w:val="1"/>
      <w:numFmt w:val="bullet"/>
      <w:lvlText w:val="•"/>
      <w:lvlJc w:val="left"/>
      <w:pPr>
        <w:tabs>
          <w:tab w:val="num" w:pos="5760"/>
        </w:tabs>
        <w:ind w:left="5760" w:hanging="360"/>
      </w:pPr>
      <w:rPr>
        <w:rFonts w:ascii="Arial" w:hAnsi="Arial" w:hint="default"/>
      </w:rPr>
    </w:lvl>
    <w:lvl w:ilvl="8" w:tplc="6CDCA370"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CC5"/>
    <w:rsid w:val="00032AFE"/>
    <w:rsid w:val="00037A5D"/>
    <w:rsid w:val="00043992"/>
    <w:rsid w:val="00044E2A"/>
    <w:rsid w:val="00050128"/>
    <w:rsid w:val="000855DB"/>
    <w:rsid w:val="000A5CE5"/>
    <w:rsid w:val="000C1CEE"/>
    <w:rsid w:val="000C4170"/>
    <w:rsid w:val="000C4595"/>
    <w:rsid w:val="000C6152"/>
    <w:rsid w:val="000E67D3"/>
    <w:rsid w:val="000F5650"/>
    <w:rsid w:val="00120852"/>
    <w:rsid w:val="00170427"/>
    <w:rsid w:val="001719CA"/>
    <w:rsid w:val="001739DD"/>
    <w:rsid w:val="00174C71"/>
    <w:rsid w:val="001C4906"/>
    <w:rsid w:val="001D6E10"/>
    <w:rsid w:val="001E2B50"/>
    <w:rsid w:val="002252F8"/>
    <w:rsid w:val="00233614"/>
    <w:rsid w:val="0027262F"/>
    <w:rsid w:val="00296A3F"/>
    <w:rsid w:val="002C1CFB"/>
    <w:rsid w:val="002E7519"/>
    <w:rsid w:val="003129E2"/>
    <w:rsid w:val="00313E48"/>
    <w:rsid w:val="003207D0"/>
    <w:rsid w:val="00336509"/>
    <w:rsid w:val="003460D4"/>
    <w:rsid w:val="00383855"/>
    <w:rsid w:val="00393CC5"/>
    <w:rsid w:val="003B3DA7"/>
    <w:rsid w:val="003E0FFE"/>
    <w:rsid w:val="003E1EE9"/>
    <w:rsid w:val="003E23F9"/>
    <w:rsid w:val="00421830"/>
    <w:rsid w:val="00425222"/>
    <w:rsid w:val="00433C42"/>
    <w:rsid w:val="0046553E"/>
    <w:rsid w:val="00467943"/>
    <w:rsid w:val="004A7D53"/>
    <w:rsid w:val="004D0E44"/>
    <w:rsid w:val="004E612A"/>
    <w:rsid w:val="004F233B"/>
    <w:rsid w:val="004F5B28"/>
    <w:rsid w:val="005023CC"/>
    <w:rsid w:val="00503421"/>
    <w:rsid w:val="00507F5A"/>
    <w:rsid w:val="00522E74"/>
    <w:rsid w:val="0054529D"/>
    <w:rsid w:val="00576B80"/>
    <w:rsid w:val="005A41DC"/>
    <w:rsid w:val="005C1F12"/>
    <w:rsid w:val="005F73CF"/>
    <w:rsid w:val="00640A6F"/>
    <w:rsid w:val="0066068F"/>
    <w:rsid w:val="00661A04"/>
    <w:rsid w:val="006B2A87"/>
    <w:rsid w:val="006B2B90"/>
    <w:rsid w:val="006C0E10"/>
    <w:rsid w:val="006C46E2"/>
    <w:rsid w:val="006C5A02"/>
    <w:rsid w:val="00721B1E"/>
    <w:rsid w:val="00736E16"/>
    <w:rsid w:val="0075713C"/>
    <w:rsid w:val="0075727C"/>
    <w:rsid w:val="00763091"/>
    <w:rsid w:val="00773B73"/>
    <w:rsid w:val="00786F59"/>
    <w:rsid w:val="00794F54"/>
    <w:rsid w:val="007A5108"/>
    <w:rsid w:val="007B6624"/>
    <w:rsid w:val="007C2EB1"/>
    <w:rsid w:val="008019F0"/>
    <w:rsid w:val="00824C66"/>
    <w:rsid w:val="008336A3"/>
    <w:rsid w:val="00850CC0"/>
    <w:rsid w:val="00855630"/>
    <w:rsid w:val="00862EA3"/>
    <w:rsid w:val="00883CA8"/>
    <w:rsid w:val="00893A0B"/>
    <w:rsid w:val="008A5F51"/>
    <w:rsid w:val="008A74BC"/>
    <w:rsid w:val="008B47BE"/>
    <w:rsid w:val="008B516B"/>
    <w:rsid w:val="008C6E75"/>
    <w:rsid w:val="008E35FF"/>
    <w:rsid w:val="008F0F02"/>
    <w:rsid w:val="009243E8"/>
    <w:rsid w:val="00931144"/>
    <w:rsid w:val="009904B3"/>
    <w:rsid w:val="009C5479"/>
    <w:rsid w:val="009D1348"/>
    <w:rsid w:val="009D198D"/>
    <w:rsid w:val="009D513A"/>
    <w:rsid w:val="009E438C"/>
    <w:rsid w:val="00A31774"/>
    <w:rsid w:val="00A76005"/>
    <w:rsid w:val="00A96C9C"/>
    <w:rsid w:val="00AB78E2"/>
    <w:rsid w:val="00B317EB"/>
    <w:rsid w:val="00B6498C"/>
    <w:rsid w:val="00B97FC6"/>
    <w:rsid w:val="00BF440C"/>
    <w:rsid w:val="00BF6070"/>
    <w:rsid w:val="00C57305"/>
    <w:rsid w:val="00C643B1"/>
    <w:rsid w:val="00C750F4"/>
    <w:rsid w:val="00C9200D"/>
    <w:rsid w:val="00CA266C"/>
    <w:rsid w:val="00CC2D16"/>
    <w:rsid w:val="00D15F2B"/>
    <w:rsid w:val="00D61BB5"/>
    <w:rsid w:val="00DA371B"/>
    <w:rsid w:val="00E05980"/>
    <w:rsid w:val="00E21B8D"/>
    <w:rsid w:val="00E2390D"/>
    <w:rsid w:val="00E34E37"/>
    <w:rsid w:val="00E456B4"/>
    <w:rsid w:val="00E56AE6"/>
    <w:rsid w:val="00E81A33"/>
    <w:rsid w:val="00EB55F6"/>
    <w:rsid w:val="00F04D01"/>
    <w:rsid w:val="00F061D6"/>
    <w:rsid w:val="00F17900"/>
    <w:rsid w:val="00F41EAC"/>
    <w:rsid w:val="00F43212"/>
    <w:rsid w:val="00F55456"/>
    <w:rsid w:val="00F650D3"/>
    <w:rsid w:val="00F706A4"/>
    <w:rsid w:val="00F71783"/>
    <w:rsid w:val="00F90406"/>
    <w:rsid w:val="00FB6C2E"/>
    <w:rsid w:val="00FD37DB"/>
    <w:rsid w:val="00FD75C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21BB84"/>
  <w14:defaultImageDpi w14:val="0"/>
  <w15:docId w15:val="{953EECAD-CFDB-4A1B-90F4-3ED36EE26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hu-HU" w:eastAsia="hu-H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envelope return" w:semiHidden="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Hyperlink"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widowControl w:val="0"/>
      <w:autoSpaceDE w:val="0"/>
      <w:autoSpaceDN w:val="0"/>
      <w:spacing w:before="40" w:after="40" w:line="240" w:lineRule="auto"/>
    </w:pPr>
    <w:rPr>
      <w:rFonts w:ascii="Arial" w:hAnsi="Arial" w:cs="Arial"/>
      <w:b/>
      <w:bCs/>
      <w:sz w:val="20"/>
      <w:szCs w:val="20"/>
    </w:rPr>
  </w:style>
  <w:style w:type="paragraph" w:styleId="Cmsor1">
    <w:name w:val="heading 1"/>
    <w:basedOn w:val="Norml"/>
    <w:next w:val="Norml"/>
    <w:link w:val="Cmsor1Char"/>
    <w:uiPriority w:val="99"/>
    <w:qFormat/>
    <w:pPr>
      <w:keepNext/>
      <w:jc w:val="center"/>
      <w:outlineLvl w:val="0"/>
    </w:pPr>
    <w:rPr>
      <w:b w:val="0"/>
      <w:bCs w:val="0"/>
      <w:smallCaps/>
    </w:rPr>
  </w:style>
  <w:style w:type="paragraph" w:styleId="Cmsor2">
    <w:name w:val="heading 2"/>
    <w:basedOn w:val="Norml"/>
    <w:next w:val="Norml"/>
    <w:link w:val="Cmsor2Char"/>
    <w:uiPriority w:val="99"/>
    <w:qFormat/>
    <w:pPr>
      <w:keepNext/>
      <w:outlineLvl w:val="1"/>
    </w:pPr>
    <w:rPr>
      <w:b w:val="0"/>
      <w:bCs w:val="0"/>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locked/>
    <w:rPr>
      <w:rFonts w:asciiTheme="majorHAnsi" w:eastAsiaTheme="majorEastAsia" w:hAnsiTheme="majorHAnsi" w:cs="Times New Roman"/>
      <w:b/>
      <w:bCs/>
      <w:kern w:val="32"/>
      <w:sz w:val="32"/>
      <w:szCs w:val="32"/>
    </w:rPr>
  </w:style>
  <w:style w:type="character" w:customStyle="1" w:styleId="Cmsor2Char">
    <w:name w:val="Címsor 2 Char"/>
    <w:basedOn w:val="Bekezdsalapbettpusa"/>
    <w:link w:val="Cmsor2"/>
    <w:uiPriority w:val="9"/>
    <w:semiHidden/>
    <w:locked/>
    <w:rPr>
      <w:rFonts w:asciiTheme="majorHAnsi" w:eastAsiaTheme="majorEastAsia" w:hAnsiTheme="majorHAnsi" w:cs="Times New Roman"/>
      <w:b/>
      <w:bCs/>
      <w:i/>
      <w:iCs/>
      <w:sz w:val="28"/>
      <w:szCs w:val="28"/>
    </w:rPr>
  </w:style>
  <w:style w:type="paragraph" w:customStyle="1" w:styleId="Tblzatcmke">
    <w:name w:val="Táblázatcímke"/>
    <w:basedOn w:val="Norml"/>
    <w:uiPriority w:val="99"/>
    <w:pPr>
      <w:jc w:val="right"/>
    </w:pPr>
    <w:rPr>
      <w:b w:val="0"/>
      <w:bCs w:val="0"/>
      <w:i/>
      <w:iCs/>
    </w:rPr>
  </w:style>
  <w:style w:type="paragraph" w:styleId="Feladcmebortkon">
    <w:name w:val="envelope return"/>
    <w:basedOn w:val="Norml"/>
    <w:uiPriority w:val="99"/>
    <w:rPr>
      <w:b w:val="0"/>
      <w:bCs w:val="0"/>
      <w:sz w:val="96"/>
      <w:szCs w:val="96"/>
    </w:rPr>
  </w:style>
  <w:style w:type="paragraph" w:customStyle="1" w:styleId="Lers">
    <w:name w:val="Leírás"/>
    <w:basedOn w:val="Norml"/>
    <w:pPr>
      <w:jc w:val="both"/>
    </w:pPr>
    <w:rPr>
      <w:b w:val="0"/>
      <w:bCs w:val="0"/>
    </w:rPr>
  </w:style>
  <w:style w:type="character" w:styleId="Oldalszm">
    <w:name w:val="page number"/>
    <w:basedOn w:val="Bekezdsalapbettpusa"/>
    <w:uiPriority w:val="99"/>
    <w:rPr>
      <w:rFonts w:cs="Times New Roman"/>
    </w:rPr>
  </w:style>
  <w:style w:type="paragraph" w:styleId="lfej">
    <w:name w:val="header"/>
    <w:basedOn w:val="Norml"/>
    <w:link w:val="lfejChar"/>
    <w:uiPriority w:val="99"/>
    <w:pPr>
      <w:tabs>
        <w:tab w:val="center" w:pos="4536"/>
        <w:tab w:val="right" w:pos="9072"/>
      </w:tabs>
    </w:pPr>
  </w:style>
  <w:style w:type="character" w:customStyle="1" w:styleId="lfejChar">
    <w:name w:val="Élőfej Char"/>
    <w:basedOn w:val="Bekezdsalapbettpusa"/>
    <w:link w:val="lfej"/>
    <w:uiPriority w:val="99"/>
    <w:semiHidden/>
    <w:locked/>
    <w:rPr>
      <w:rFonts w:ascii="Arial" w:hAnsi="Arial" w:cs="Arial"/>
      <w:b/>
      <w:bCs/>
      <w:sz w:val="20"/>
      <w:szCs w:val="20"/>
    </w:rPr>
  </w:style>
  <w:style w:type="character" w:customStyle="1" w:styleId="llbChar">
    <w:name w:val="Élőláb Char"/>
    <w:basedOn w:val="Bekezdsalapbettpusa"/>
    <w:link w:val="llb"/>
    <w:uiPriority w:val="99"/>
    <w:locked/>
    <w:rPr>
      <w:rFonts w:ascii="Arial" w:hAnsi="Arial" w:cs="Arial"/>
      <w:b/>
      <w:bCs/>
      <w:sz w:val="20"/>
      <w:szCs w:val="20"/>
    </w:rPr>
  </w:style>
  <w:style w:type="paragraph" w:styleId="llb">
    <w:name w:val="footer"/>
    <w:basedOn w:val="Norml"/>
    <w:link w:val="llbChar"/>
    <w:uiPriority w:val="99"/>
    <w:pPr>
      <w:tabs>
        <w:tab w:val="center" w:pos="4536"/>
        <w:tab w:val="right" w:pos="9072"/>
      </w:tabs>
    </w:pPr>
  </w:style>
  <w:style w:type="character" w:customStyle="1" w:styleId="llbChar1">
    <w:name w:val="Élőláb Char1"/>
    <w:basedOn w:val="Bekezdsalapbettpusa"/>
    <w:uiPriority w:val="99"/>
    <w:semiHidden/>
    <w:rPr>
      <w:rFonts w:ascii="Arial" w:hAnsi="Arial" w:cs="Arial"/>
      <w:b/>
      <w:bCs/>
      <w:sz w:val="20"/>
      <w:szCs w:val="20"/>
    </w:rPr>
  </w:style>
  <w:style w:type="character" w:customStyle="1" w:styleId="llbChar16">
    <w:name w:val="Élőláb Char16"/>
    <w:basedOn w:val="Bekezdsalapbettpusa"/>
    <w:uiPriority w:val="99"/>
    <w:semiHidden/>
    <w:rPr>
      <w:rFonts w:ascii="Arial" w:hAnsi="Arial" w:cs="Arial"/>
      <w:b/>
      <w:bCs/>
      <w:sz w:val="20"/>
      <w:szCs w:val="20"/>
    </w:rPr>
  </w:style>
  <w:style w:type="character" w:customStyle="1" w:styleId="llbChar15">
    <w:name w:val="Élőláb Char15"/>
    <w:basedOn w:val="Bekezdsalapbettpusa"/>
    <w:uiPriority w:val="99"/>
    <w:semiHidden/>
    <w:rPr>
      <w:rFonts w:ascii="Arial" w:hAnsi="Arial" w:cs="Arial"/>
      <w:b/>
      <w:bCs/>
      <w:sz w:val="20"/>
      <w:szCs w:val="20"/>
    </w:rPr>
  </w:style>
  <w:style w:type="character" w:customStyle="1" w:styleId="llbChar14">
    <w:name w:val="Élőláb Char14"/>
    <w:basedOn w:val="Bekezdsalapbettpusa"/>
    <w:uiPriority w:val="99"/>
    <w:semiHidden/>
    <w:rPr>
      <w:rFonts w:ascii="Arial" w:hAnsi="Arial" w:cs="Arial"/>
      <w:b/>
      <w:bCs/>
      <w:sz w:val="20"/>
      <w:szCs w:val="20"/>
    </w:rPr>
  </w:style>
  <w:style w:type="character" w:customStyle="1" w:styleId="llbChar13">
    <w:name w:val="Élőláb Char13"/>
    <w:basedOn w:val="Bekezdsalapbettpusa"/>
    <w:uiPriority w:val="99"/>
    <w:semiHidden/>
    <w:rPr>
      <w:rFonts w:ascii="Arial" w:hAnsi="Arial" w:cs="Arial"/>
      <w:b/>
      <w:bCs/>
      <w:sz w:val="20"/>
      <w:szCs w:val="20"/>
      <w:lang w:val="hu-HU" w:eastAsia="hu-HU"/>
    </w:rPr>
  </w:style>
  <w:style w:type="character" w:customStyle="1" w:styleId="llbChar12">
    <w:name w:val="Élőláb Char12"/>
    <w:basedOn w:val="Bekezdsalapbettpusa"/>
    <w:uiPriority w:val="99"/>
    <w:semiHidden/>
    <w:rPr>
      <w:rFonts w:ascii="Arial" w:hAnsi="Arial" w:cs="Arial"/>
      <w:b/>
      <w:bCs/>
      <w:sz w:val="20"/>
      <w:szCs w:val="20"/>
      <w:lang w:val="hu-HU" w:eastAsia="hu-HU"/>
    </w:rPr>
  </w:style>
  <w:style w:type="character" w:customStyle="1" w:styleId="llbChar11">
    <w:name w:val="Élőláb Char11"/>
    <w:basedOn w:val="Bekezdsalapbettpusa"/>
    <w:uiPriority w:val="99"/>
    <w:semiHidden/>
    <w:rPr>
      <w:rFonts w:ascii="Arial" w:hAnsi="Arial" w:cs="Arial"/>
      <w:b/>
      <w:bCs/>
      <w:sz w:val="20"/>
      <w:szCs w:val="20"/>
      <w:lang w:val="hu-HU" w:eastAsia="hu-HU"/>
    </w:rPr>
  </w:style>
  <w:style w:type="character" w:styleId="Hiperhivatkozs">
    <w:name w:val="Hyperlink"/>
    <w:rsid w:val="00E34E37"/>
    <w:rPr>
      <w:color w:val="0000FF"/>
      <w:u w:val="single"/>
    </w:rPr>
  </w:style>
  <w:style w:type="character" w:customStyle="1" w:styleId="articledoilabel">
    <w:name w:val="article_doi_label"/>
    <w:rsid w:val="00E34E37"/>
  </w:style>
  <w:style w:type="character" w:customStyle="1" w:styleId="zgwo7">
    <w:name w:val="zgwo7"/>
    <w:basedOn w:val="Bekezdsalapbettpusa"/>
    <w:rsid w:val="009D198D"/>
  </w:style>
  <w:style w:type="character" w:styleId="Finomkiemels">
    <w:name w:val="Subtle Emphasis"/>
    <w:uiPriority w:val="19"/>
    <w:qFormat/>
    <w:rsid w:val="00043992"/>
    <w:rPr>
      <w:i/>
      <w:iCs/>
      <w:color w:val="404040"/>
    </w:rPr>
  </w:style>
  <w:style w:type="paragraph" w:styleId="Nincstrkz">
    <w:name w:val="No Spacing"/>
    <w:uiPriority w:val="1"/>
    <w:qFormat/>
    <w:rsid w:val="0066068F"/>
    <w:pPr>
      <w:widowControl w:val="0"/>
      <w:autoSpaceDE w:val="0"/>
      <w:autoSpaceDN w:val="0"/>
      <w:spacing w:after="0" w:line="240" w:lineRule="auto"/>
    </w:pPr>
    <w:rPr>
      <w:rFonts w:ascii="Arial" w:hAnsi="Arial" w:cs="Arial"/>
      <w:b/>
      <w:bCs/>
      <w:sz w:val="20"/>
      <w:szCs w:val="20"/>
    </w:rPr>
  </w:style>
  <w:style w:type="character" w:styleId="Kiemels2">
    <w:name w:val="Strong"/>
    <w:basedOn w:val="Bekezdsalapbettpusa"/>
    <w:uiPriority w:val="22"/>
    <w:qFormat/>
    <w:rsid w:val="006606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Economic%20growth%20and%20the%20environment%20-%20GOV.UK,%20https://assets.publishing.service.gov.uk&#160;&#825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1108</Words>
  <Characters>7650</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ÓBUDAI EGYETEM</vt:lpstr>
    </vt:vector>
  </TitlesOfParts>
  <Company>DTI</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ÓBUDAI EGYETEM</dc:title>
  <dc:subject/>
  <dc:creator>Zsuzsa</dc:creator>
  <cp:keywords/>
  <dc:description/>
  <cp:lastModifiedBy>Szeder András</cp:lastModifiedBy>
  <cp:revision>30</cp:revision>
  <cp:lastPrinted>2017-07-05T07:41:00Z</cp:lastPrinted>
  <dcterms:created xsi:type="dcterms:W3CDTF">2021-09-20T15:56:00Z</dcterms:created>
  <dcterms:modified xsi:type="dcterms:W3CDTF">2021-09-29T06:53:00Z</dcterms:modified>
</cp:coreProperties>
</file>